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0491AC" w14:textId="77777777" w:rsidR="00480D60" w:rsidRPr="00480D60" w:rsidRDefault="00480D60" w:rsidP="00480D60">
      <w:pPr>
        <w:widowControl w:val="0"/>
        <w:suppressAutoHyphens/>
        <w:spacing w:after="120" w:line="240" w:lineRule="auto"/>
        <w:jc w:val="center"/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val="ru-RU" w:eastAsia="zh-CN" w:bidi="hi-IN"/>
        </w:rPr>
      </w:pPr>
      <w:r w:rsidRPr="00480D60"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val="ru-RU" w:eastAsia="zh-CN" w:bidi="hi-IN"/>
        </w:rPr>
        <w:t xml:space="preserve">Техническая спецификация </w:t>
      </w:r>
    </w:p>
    <w:p w14:paraId="38E071B7" w14:textId="21554D07" w:rsidR="0034026B" w:rsidRPr="003C750D" w:rsidRDefault="00480D60" w:rsidP="00480D60">
      <w:pPr>
        <w:widowControl w:val="0"/>
        <w:suppressAutoHyphens/>
        <w:spacing w:after="120" w:line="240" w:lineRule="auto"/>
        <w:jc w:val="center"/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val="ru-RU" w:eastAsia="zh-CN" w:bidi="hi-IN"/>
        </w:rPr>
      </w:pPr>
      <w:r w:rsidRPr="00480D60"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val="ru-RU" w:eastAsia="zh-CN" w:bidi="hi-IN"/>
        </w:rPr>
        <w:t xml:space="preserve">Поставка и пуско-наладка оборудования Межсетевые средства экранирования (МСЭ) с централизованным управлением </w:t>
      </w:r>
      <w:proofErr w:type="spellStart"/>
      <w:r w:rsidRPr="00480D60"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val="ru-RU" w:eastAsia="zh-CN" w:bidi="hi-IN"/>
        </w:rPr>
        <w:t>CheckPoint</w:t>
      </w:r>
      <w:bookmarkStart w:id="0" w:name="_GoBack"/>
      <w:bookmarkEnd w:id="0"/>
      <w:proofErr w:type="spellEnd"/>
    </w:p>
    <w:p w14:paraId="1E53FBFF" w14:textId="6D70A291" w:rsidR="0034026B" w:rsidRPr="003C750D" w:rsidRDefault="00D02D18" w:rsidP="007E3DC8">
      <w:pPr>
        <w:pStyle w:val="a3"/>
        <w:widowControl w:val="0"/>
        <w:numPr>
          <w:ilvl w:val="0"/>
          <w:numId w:val="5"/>
        </w:numPr>
        <w:suppressAutoHyphens/>
        <w:spacing w:after="120" w:line="240" w:lineRule="auto"/>
        <w:ind w:left="851" w:hanging="851"/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eastAsia="zh-CN" w:bidi="hi-IN"/>
        </w:rPr>
        <w:t>Требования к оборудованию</w:t>
      </w:r>
    </w:p>
    <w:p w14:paraId="2B2D5CAE" w14:textId="77777777" w:rsidR="00DC1E79" w:rsidRPr="003C750D" w:rsidRDefault="00DC1E79" w:rsidP="007E3DC8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Оборудование, поставляемое Потенциальным Поставщиком, должно быть новым, т.е. не бывшим в эксплуатации, не восстановленным, без дефектов, не модифицированным.</w:t>
      </w:r>
    </w:p>
    <w:p w14:paraId="06493F34" w14:textId="77777777" w:rsidR="00DC1E79" w:rsidRPr="003C750D" w:rsidRDefault="00DC1E79" w:rsidP="007E3DC8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В состав поставки оборудования должны входить следующие компоненты:</w:t>
      </w:r>
    </w:p>
    <w:p w14:paraId="7DFD159F" w14:textId="325A8197" w:rsidR="007E3DC8" w:rsidRPr="003C750D" w:rsidRDefault="00723400" w:rsidP="007E3DC8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Программно-аппаратная </w:t>
      </w:r>
      <w:r w:rsidR="00DC1E79"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консоль для управления межсетевыми экранами (1 шт.);</w:t>
      </w:r>
    </w:p>
    <w:p w14:paraId="2A5E11DD" w14:textId="720C606D" w:rsidR="007E3DC8" w:rsidRPr="003C750D" w:rsidRDefault="00DC1E79" w:rsidP="007E3DC8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Оборудование межсетевого экранирования (2 шт.);</w:t>
      </w:r>
    </w:p>
    <w:p w14:paraId="57D2F4E7" w14:textId="61EC50EE" w:rsidR="007E3DC8" w:rsidRPr="003C750D" w:rsidRDefault="00DC1E79" w:rsidP="007E3DC8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Пакет на 10 виртуальных подсистем (2 шт.);</w:t>
      </w:r>
    </w:p>
    <w:p w14:paraId="15197603" w14:textId="164A3BEA" w:rsidR="00D02D18" w:rsidRPr="003C750D" w:rsidRDefault="00DC1E79" w:rsidP="007E3DC8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Трансиверы SFP+ 10Gb на короткие расстояния (16 шт.)</w:t>
      </w:r>
      <w:r w:rsidR="007E3DC8"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.</w:t>
      </w:r>
    </w:p>
    <w:p w14:paraId="2064DC3D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Межсетевой экран должен использовать контроль состояния соединений на основе детализированного анализа связи и состояния приложения для отслеживания и управления сетевым потоком.</w:t>
      </w:r>
    </w:p>
    <w:p w14:paraId="5861D744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поддерживать DHCP, сервер и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relay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.</w:t>
      </w:r>
    </w:p>
    <w:p w14:paraId="3C8C3401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обеспечивать функционал как централизованного управления безопасностью, либо локального.</w:t>
      </w:r>
    </w:p>
    <w:p w14:paraId="69B3DE35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включать в себя возможность работы в режиме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Transparent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/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Bridge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.</w:t>
      </w:r>
    </w:p>
    <w:p w14:paraId="34607AE9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поддерживать работу на 2 уровне модели OSI (режим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bridge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).</w:t>
      </w:r>
    </w:p>
    <w:p w14:paraId="74580672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поддерживать функционал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Firewall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, IPS, URL-фильтрацию, антивирусную защиту, защиту от ботов, песочницу, Управление приложениями, Идентификацию пользователей.</w:t>
      </w:r>
    </w:p>
    <w:p w14:paraId="6FFC4064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поддерживать кластеризацию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Active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/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Standby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в режиме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bridge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при наличии централизованного управления.</w:t>
      </w:r>
    </w:p>
    <w:p w14:paraId="3B3F3BA2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поддерживать политику, основанную на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QoS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.</w:t>
      </w:r>
    </w:p>
    <w:p w14:paraId="03DF80B5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позволять гарантировать или ограничивать пропускную способность и управлять задержкой для определенного IP источника, IP пункта назначения или сервиса.</w:t>
      </w:r>
    </w:p>
    <w:p w14:paraId="305964D7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иметь возможность произвольного применения правил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QoS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для VPN трафика.</w:t>
      </w:r>
    </w:p>
    <w:p w14:paraId="707E51B6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обеспечивать функционал IPS (системы предотвращения вторжений).</w:t>
      </w:r>
    </w:p>
    <w:p w14:paraId="3911A981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Система IPS должна основываться на следующих механизмах обнаружения: использование сигнатур, отслеживание аномалий протоколов, управление приложениями и обнаружение на основе поведения.</w:t>
      </w:r>
    </w:p>
    <w:p w14:paraId="75A09366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обеспечивать функционал Идентификации пользователей.</w:t>
      </w:r>
    </w:p>
    <w:p w14:paraId="2C43B295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Должно быть способно к сбору идентификаторов пользователей посредством запроса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Microsoft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Active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Directory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на основе событий безопасности. </w:t>
      </w:r>
    </w:p>
    <w:p w14:paraId="3C26C1CA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Должно иметь метод аутентификации идентификатора пользователя на основе браузера для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недоменных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пользователей или компьютеров. </w:t>
      </w:r>
    </w:p>
    <w:p w14:paraId="35E53D0C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Должно иметь специального агента, который может быть установлен по политике на компьютерах пользователей, и который может собирать и передавать идентификаторы на шлюз безопасности.</w:t>
      </w:r>
    </w:p>
    <w:p w14:paraId="3663C6F5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обеспечивать функционал Управления приложениями и URL-фильтрации.</w:t>
      </w:r>
    </w:p>
    <w:p w14:paraId="2CD4776D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База данных управления приложениями должна содержать свыше 10000 </w:t>
      </w: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lastRenderedPageBreak/>
        <w:t xml:space="preserve">известных приложений. </w:t>
      </w:r>
    </w:p>
    <w:p w14:paraId="6DF662F1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обеспечивать детальный контроль безопасности минимум для 250000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Web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2.0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виджетов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.</w:t>
      </w:r>
    </w:p>
    <w:p w14:paraId="203EA94B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обеспечивать URL категоризацию, включающую более 200 миллионов URL.</w:t>
      </w:r>
    </w:p>
    <w:p w14:paraId="1EF171E6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обеспечивать функционал антивирусной защиты и защиты от ботов.</w:t>
      </w:r>
    </w:p>
    <w:p w14:paraId="2FAB3B41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Приложение защиты от ботов должно быть способно обнаружить и остановить подозрительное аномальное сетевое поведение.</w:t>
      </w:r>
    </w:p>
    <w:p w14:paraId="570CF704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Приложение защиты от ботов должно использовать многоуровневый механизм обнаружения, который включает репутацию IP, URL и DNS адресов и обнаружение ботов по шаблонам протоколов связи.  </w:t>
      </w:r>
    </w:p>
    <w:p w14:paraId="276D3C75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Приложение антивирусной защиты должно предотвращать доступ к вредоносным веб-сайтам и останавливать входящие вредоносные файлы.</w:t>
      </w:r>
    </w:p>
    <w:p w14:paraId="24B50C7A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Приложение антивирусной защиты должно быть способно проверять шифрованный SSL трафик.</w:t>
      </w:r>
    </w:p>
    <w:p w14:paraId="50AC7218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обеспечивать функционал инспекции SSL (входящего / исходящего трафика). </w:t>
      </w:r>
    </w:p>
    <w:p w14:paraId="02A1F164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обеспечивать функционал «песочницы»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Sandboxing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(инспекция – в облаке или на выделенном локальном устройстве).</w:t>
      </w:r>
    </w:p>
    <w:p w14:paraId="19B647AC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обеспечивать функционал IPSEC VPN.</w:t>
      </w:r>
    </w:p>
    <w:p w14:paraId="00E849C3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Должна быть поддержка внутреннего CA (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Certificate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Authority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), а также внешних сторонних CA.</w:t>
      </w:r>
    </w:p>
    <w:p w14:paraId="6A6271C3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поддерживать 3DES и AES-256 шифрование для IKE фазы I и II IKEv2, а также "Suite-B-GCM-128" и "Suite-B-GCM-256" для фазы II.</w:t>
      </w:r>
    </w:p>
    <w:p w14:paraId="5DB34152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поддерживать как минимум следующие группы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Diffie-Hellman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: Группа 1 (768 бит), Группа 2 (1024 бит), Группа 5 (1536 бит), Группа 14 (2048 бит), Группа 19 и Группа 20.</w:t>
      </w:r>
    </w:p>
    <w:p w14:paraId="40DDD948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Решение должно поддерживать обеспечение целостности данных средствами md5, sha1 SHA-256, SHA-384 и AES-XCBC.</w:t>
      </w:r>
    </w:p>
    <w:p w14:paraId="19E5679D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включать в себя поддержку для VPN типа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site-to-site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в следующих топологиях:</w:t>
      </w:r>
    </w:p>
    <w:p w14:paraId="526395E4" w14:textId="16142CB4" w:rsidR="006C6BC9" w:rsidRPr="003C750D" w:rsidRDefault="008A1EE7" w:rsidP="006C6BC9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Полносвязная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сеть (все-со-всеми).</w:t>
      </w:r>
    </w:p>
    <w:p w14:paraId="1B96C78F" w14:textId="77777777" w:rsidR="006C6BC9" w:rsidRPr="003C750D" w:rsidRDefault="008A1EE7" w:rsidP="006C6BC9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Звездообразная сеть (удаленные офисы к центральному сайту).</w:t>
      </w:r>
    </w:p>
    <w:p w14:paraId="4F34218A" w14:textId="490D3AD5" w:rsidR="008A1EE7" w:rsidRPr="003C750D" w:rsidRDefault="008A1EE7" w:rsidP="006C6BC9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Веерная сеть (удаленный сайт через центральный сайт на другой удаленный сайт).</w:t>
      </w:r>
    </w:p>
    <w:p w14:paraId="1DF78247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Удаленный мобильный доступ.</w:t>
      </w:r>
    </w:p>
    <w:p w14:paraId="3B4D9AC9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обеспечивать функционал Удаленного мобильного доступа. </w:t>
      </w:r>
    </w:p>
    <w:p w14:paraId="2B37E551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Решение должно поддерживать интеграцию с решениями двухфакторной аутентификации. </w:t>
      </w:r>
    </w:p>
    <w:p w14:paraId="1A65152B" w14:textId="1773E1F2" w:rsidR="008A1EE7" w:rsidRPr="003C750D" w:rsidRDefault="00822403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Р</w:t>
      </w:r>
      <w:r w:rsidR="008A1EE7"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ешение должно обеспечивать следующие функции:</w:t>
      </w:r>
    </w:p>
    <w:p w14:paraId="7A6E2A21" w14:textId="77777777" w:rsidR="006C6BC9" w:rsidRPr="003C750D" w:rsidRDefault="008A1EE7" w:rsidP="006C6BC9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Безопасный SSL VPN доступ;</w:t>
      </w:r>
    </w:p>
    <w:p w14:paraId="07A4A207" w14:textId="2DED9F4D" w:rsidR="006C6BC9" w:rsidRPr="003C750D" w:rsidRDefault="008A1EE7" w:rsidP="006C6BC9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Ассоциирование мобильных устро</w:t>
      </w:r>
      <w:r w:rsidR="00822403"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йств с конечными пользователями.</w:t>
      </w:r>
    </w:p>
    <w:p w14:paraId="677B4F00" w14:textId="0C9D8F0B" w:rsidR="008A1EE7" w:rsidRPr="003C750D" w:rsidRDefault="008A1EE7" w:rsidP="00822403">
      <w:pPr>
        <w:pStyle w:val="a3"/>
        <w:widowControl w:val="0"/>
        <w:numPr>
          <w:ilvl w:val="0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/>
          <w:bCs/>
          <w:color w:val="000000"/>
          <w:sz w:val="24"/>
          <w:szCs w:val="24"/>
          <w:lang w:eastAsia="zh-CN" w:bidi="hi-IN"/>
        </w:rPr>
        <w:t>Аппаратные и рабочие требования к шлюзу.</w:t>
      </w:r>
    </w:p>
    <w:p w14:paraId="00929B9B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Продуктивные сетевые интерфейсы (минимальные требования):</w:t>
      </w:r>
    </w:p>
    <w:p w14:paraId="3D02E11B" w14:textId="77777777" w:rsidR="00CF55B5" w:rsidRPr="003C750D" w:rsidRDefault="008A1EE7" w:rsidP="00CF55B5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8 x1 Гбит медных LAN портов;</w:t>
      </w:r>
    </w:p>
    <w:p w14:paraId="39832FE5" w14:textId="77777777" w:rsidR="00CF55B5" w:rsidRPr="003C750D" w:rsidRDefault="008A1EE7" w:rsidP="00CF55B5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8 x 1/10 Гбит SFP+ портов; </w:t>
      </w:r>
    </w:p>
    <w:p w14:paraId="00383315" w14:textId="77777777" w:rsidR="00CF55B5" w:rsidRPr="003C750D" w:rsidRDefault="008A1EE7" w:rsidP="00CF55B5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1x1 Гбит медный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Managment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порт;</w:t>
      </w:r>
    </w:p>
    <w:p w14:paraId="078F80AB" w14:textId="77777777" w:rsidR="00CF55B5" w:rsidRPr="003C750D" w:rsidRDefault="008A1EE7" w:rsidP="00CF55B5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2xUSB 3.0 порт;</w:t>
      </w:r>
    </w:p>
    <w:p w14:paraId="42C9992D" w14:textId="77777777" w:rsidR="00CF55B5" w:rsidRPr="003C750D" w:rsidRDefault="008A1EE7" w:rsidP="00CF55B5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1xUSB-C консольный порт;</w:t>
      </w:r>
    </w:p>
    <w:p w14:paraId="3D7E6ED5" w14:textId="337FA429" w:rsidR="008A1EE7" w:rsidRPr="003C750D" w:rsidRDefault="008A1EE7" w:rsidP="00CF55B5">
      <w:pPr>
        <w:pStyle w:val="a3"/>
        <w:widowControl w:val="0"/>
        <w:numPr>
          <w:ilvl w:val="2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val="en-US"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val="en-US" w:eastAsia="zh-CN" w:bidi="hi-IN"/>
        </w:rPr>
        <w:t>16 x SFP+ transceiver for 10G fiber Ports - short range (10GBase-SR);</w:t>
      </w:r>
    </w:p>
    <w:p w14:paraId="366EB8F9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Пропускная способность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Firewall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: минимум 60 Гбит/с.</w:t>
      </w:r>
    </w:p>
    <w:p w14:paraId="50BAE8E5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Пропускная способность IPS: минимум 31 Гбит/с.</w:t>
      </w:r>
    </w:p>
    <w:p w14:paraId="2D857B20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Пропускная способность NGFW (с активированным функционалом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Firewall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,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Application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Control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и IPS): минимум 19 Гбит/с.</w:t>
      </w:r>
    </w:p>
    <w:p w14:paraId="74D13D9C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Пропускная способность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Threat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Prevention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(с активированным функционалом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Firewall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,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Application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Control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, URL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Filtering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, IPS,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Antivirus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,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Anti-Bot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 xml:space="preserve"> и облачный </w:t>
      </w:r>
      <w:proofErr w:type="spellStart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Sandbox</w:t>
      </w:r>
      <w:proofErr w:type="spellEnd"/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): минимум 6.6 Гбит/с.</w:t>
      </w:r>
    </w:p>
    <w:p w14:paraId="1A357259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Одновременные соединения: 16 200 000.</w:t>
      </w:r>
    </w:p>
    <w:p w14:paraId="0F7090BC" w14:textId="77777777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Новые соединения: минимум 250 000 в секунду.</w:t>
      </w:r>
    </w:p>
    <w:p w14:paraId="6C6D2BF3" w14:textId="7B56EAB5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Хранилище: 1 x SDD 480Gb</w:t>
      </w:r>
      <w:r w:rsidR="00CF55B5"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val="en-US" w:eastAsia="zh-CN" w:bidi="hi-IN"/>
        </w:rPr>
        <w:t>.</w:t>
      </w:r>
    </w:p>
    <w:p w14:paraId="47C95087" w14:textId="507717EA" w:rsidR="008A1EE7" w:rsidRPr="003C750D" w:rsidRDefault="008A1EE7" w:rsidP="008A1EE7">
      <w:pPr>
        <w:pStyle w:val="a3"/>
        <w:widowControl w:val="0"/>
        <w:numPr>
          <w:ilvl w:val="1"/>
          <w:numId w:val="5"/>
        </w:numPr>
        <w:suppressAutoHyphens/>
        <w:spacing w:after="120" w:line="240" w:lineRule="auto"/>
        <w:ind w:left="851" w:hanging="851"/>
        <w:jc w:val="both"/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</w:pPr>
      <w:r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Питание: 2 х AC блока питания</w:t>
      </w:r>
      <w:r w:rsidR="00CF55B5" w:rsidRPr="003C750D">
        <w:rPr>
          <w:rFonts w:ascii="Liberation Serif" w:eastAsia="Segoe UI" w:hAnsi="Liberation Serif" w:cs="Tahoma"/>
          <w:bCs/>
          <w:color w:val="000000"/>
          <w:sz w:val="24"/>
          <w:szCs w:val="24"/>
          <w:lang w:eastAsia="zh-CN" w:bidi="hi-IN"/>
        </w:rPr>
        <w:t>.</w:t>
      </w:r>
    </w:p>
    <w:p w14:paraId="0690527E" w14:textId="77777777" w:rsidR="00140C53" w:rsidRPr="003C750D" w:rsidRDefault="00140C53" w:rsidP="00140C53">
      <w:pPr>
        <w:pStyle w:val="a3"/>
        <w:numPr>
          <w:ilvl w:val="0"/>
          <w:numId w:val="5"/>
        </w:numPr>
        <w:ind w:left="851" w:hanging="851"/>
        <w:jc w:val="both"/>
        <w:rPr>
          <w:rFonts w:ascii="Liberation Serif" w:hAnsi="Liberation Serif" w:cs="Times New Roman" w:hint="eastAsia"/>
          <w:b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b/>
          <w:sz w:val="24"/>
          <w:szCs w:val="24"/>
          <w:lang w:val="kk-KZ"/>
        </w:rPr>
        <w:t>Требования к Консоли для управления межсетевыми экранами.</w:t>
      </w:r>
    </w:p>
    <w:p w14:paraId="13605982" w14:textId="77777777" w:rsidR="00140C53" w:rsidRPr="003C750D" w:rsidRDefault="00140C53" w:rsidP="00140C5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функционал централизованного управления безопасностью.</w:t>
      </w:r>
    </w:p>
    <w:p w14:paraId="0B2346F9" w14:textId="77777777" w:rsidR="00140C53" w:rsidRPr="003C750D" w:rsidRDefault="00140C53" w:rsidP="00140C5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Все приложения безопасности Брандмауэра следующего поколения должны быть управляемыми с центральной консоли GUI. </w:t>
      </w:r>
    </w:p>
    <w:p w14:paraId="27B1D1DB" w14:textId="77777777" w:rsidR="00140C53" w:rsidRPr="003C750D" w:rsidRDefault="00140C53" w:rsidP="00140C5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Централизованное управление безопасностью должно управлять не менее 5 шлюзами.</w:t>
      </w:r>
    </w:p>
    <w:p w14:paraId="66C8A1AF" w14:textId="77777777" w:rsidR="00140C53" w:rsidRPr="003C750D" w:rsidRDefault="00140C53" w:rsidP="00140C5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Приложение для управления безопасностью должно поддерживать учетные записи администраторов на основе ролей. Например, только роли для управления политикой брандмауэра или только роль для просмотра журнала.</w:t>
      </w:r>
    </w:p>
    <w:p w14:paraId="5BC10FD8" w14:textId="77777777" w:rsidR="00140C53" w:rsidRPr="003C750D" w:rsidRDefault="00140C53" w:rsidP="00140C5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возможность обеспечения высокой доступности системы управления, используя резервный сервер управления, который автоматически синхронизируется с активным сервером.</w:t>
      </w:r>
    </w:p>
    <w:p w14:paraId="54300EB1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включать возможность централизованного распространения и применения новых версий шлюзового программного обеспечения.</w:t>
      </w:r>
    </w:p>
    <w:p w14:paraId="51BF012B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включать инструмент для централизованного управления лицензиями всех шлюзов, контролируемых станцией управления. </w:t>
      </w:r>
    </w:p>
    <w:p w14:paraId="5FF0C3CA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механизм обновлении во всех приложениях включая IPS, Управление приложениями, URL-фильтрацию,</w:t>
      </w:r>
      <w:r w:rsidRPr="003C750D">
        <w:rPr>
          <w:rFonts w:ascii="Liberation Serif" w:hAnsi="Liberation Serif" w:cs="Times New Roman"/>
          <w:sz w:val="24"/>
          <w:szCs w:val="24"/>
        </w:rPr>
        <w:t xml:space="preserve"> антивирусную защиту и защиту от ботов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5C266E37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функционал Централизованного Протоколирования &amp; Мониторинга.</w:t>
      </w:r>
    </w:p>
    <w:p w14:paraId="6072E17D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Система централизованного протоколирования событий должна быть частью системы управления. </w:t>
      </w:r>
    </w:p>
    <w:p w14:paraId="61BD6FA0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протоколировать все правила. </w:t>
      </w:r>
    </w:p>
    <w:p w14:paraId="05C4BCF6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У средства просмотра журналов событий должна быть возможность индексированного поиска.</w:t>
      </w:r>
    </w:p>
    <w:p w14:paraId="310898BC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иметь возможность протоколирования событий во всех интегрированных приложениях безопасности на шлюзе (включая виртуальные шлюзы), включая Firewall, IPSEC VPN, IPS, Идентификация пользователей, Мобильный доступ, DLP, Управление приложениями, URL-фильтрацию, </w:t>
      </w:r>
      <w:r w:rsidRPr="003C750D">
        <w:rPr>
          <w:rFonts w:ascii="Liberation Serif" w:hAnsi="Liberation Serif" w:cs="Times New Roman"/>
          <w:sz w:val="24"/>
          <w:szCs w:val="24"/>
        </w:rPr>
        <w:t>антивирусную защиту, защиту от ботов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, </w:t>
      </w:r>
      <w:r w:rsidRPr="003C750D">
        <w:rPr>
          <w:rFonts w:ascii="Liberation Serif" w:hAnsi="Liberation Serif" w:cs="Times New Roman"/>
          <w:sz w:val="24"/>
          <w:szCs w:val="24"/>
        </w:rPr>
        <w:t>песочницу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12064B05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У системы протоколирования должен быть безопасный канал для передачи данных для предотвращения подслушивания, канал передачи должен быть зашифрован и проходить проверку подлинности.</w:t>
      </w:r>
    </w:p>
    <w:p w14:paraId="50EC2E72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Журналы событий должны безопасно передаваться между шлюзом и управлением или выделенным сервером журналов и консолью просмотра журналов в компьютере администратора.</w:t>
      </w:r>
    </w:p>
    <w:p w14:paraId="09493718" w14:textId="77777777" w:rsidR="00145DF1" w:rsidRPr="003C750D" w:rsidRDefault="00140C53" w:rsidP="00145DF1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включать опцию динамического блокирования активного соединения в графическом интерфейсе системы протоколирования событий без необходимости внесения изменений в базу правил. </w:t>
      </w:r>
    </w:p>
    <w:p w14:paraId="3B5F7FD4" w14:textId="77777777" w:rsidR="00921483" w:rsidRPr="003C750D" w:rsidRDefault="00140C53" w:rsidP="0092148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включать настраиваемую установку пороговых значений параметров для выполнения действий при достижении определенных пороговых значений на шлюзе. Действия должны включать: запись события, оповещение, отправка SNMP trap, отправка электронного письма и выполнение определенного пользователем предупреждения.</w:t>
      </w:r>
    </w:p>
    <w:p w14:paraId="63CB5334" w14:textId="77777777" w:rsidR="00921483" w:rsidRPr="003C750D" w:rsidRDefault="00140C53" w:rsidP="0092148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включать предварительно настроенные графики для мониторинга трафика во времени и системных счетчиков: главные правила безопасности, основные пользователи P2P, VPN туннели, сетевой трафик и другая полезная информация. Решение должно обеспечивать возможность создания новых графиков с различными типами диаграмм.</w:t>
      </w:r>
    </w:p>
    <w:p w14:paraId="197B09F0" w14:textId="77777777" w:rsidR="00921483" w:rsidRPr="003C750D" w:rsidRDefault="00140C53" w:rsidP="0092148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поддерживать сегментирование политики безопасности по слоям с возможностью делегирования полномочий разным администорам с точностью до блоков правил в общей политике.</w:t>
      </w:r>
    </w:p>
    <w:p w14:paraId="7652058E" w14:textId="77777777" w:rsidR="00921483" w:rsidRPr="003C750D" w:rsidRDefault="00140C53" w:rsidP="0092148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хранение ревизий политик для файрволов следующего поколения с возможностью возврата изменений к предыдущим версиям ревизий.</w:t>
      </w:r>
    </w:p>
    <w:p w14:paraId="72271EA1" w14:textId="77777777" w:rsidR="00921483" w:rsidRPr="003C750D" w:rsidRDefault="00140C53" w:rsidP="0092148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обеспечивать функционал Централизованной Корреляции событий и Отчетов. </w:t>
      </w:r>
    </w:p>
    <w:p w14:paraId="2EA7A5DE" w14:textId="77777777" w:rsidR="00921483" w:rsidRPr="003C750D" w:rsidRDefault="00140C53" w:rsidP="00921483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иметь возможность корреляции событий из всех приложений, включая Firewall, IPSEC VPN, IPS, Идентификация пользователей, Мобильный доступ, DLP, Управление приложениями, URL-фильтрация, </w:t>
      </w:r>
      <w:r w:rsidRPr="003C750D">
        <w:rPr>
          <w:rFonts w:ascii="Liberation Serif" w:hAnsi="Liberation Serif" w:cs="Times New Roman"/>
          <w:sz w:val="24"/>
          <w:szCs w:val="24"/>
        </w:rPr>
        <w:t>антивирусная защита, защита от ботов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, </w:t>
      </w:r>
      <w:r w:rsidRPr="003C750D">
        <w:rPr>
          <w:rFonts w:ascii="Liberation Serif" w:hAnsi="Liberation Serif" w:cs="Times New Roman"/>
          <w:sz w:val="24"/>
          <w:szCs w:val="24"/>
        </w:rPr>
        <w:t>песочница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410619FA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включать инструмент для корреляции событий из всех функций шлюза и сторонних устройств.</w:t>
      </w:r>
    </w:p>
    <w:p w14:paraId="2F198B96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Приложение корреляции событий должно обеспечивать графическое представление событий на основе времени.</w:t>
      </w:r>
    </w:p>
    <w:p w14:paraId="391ED253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включать возможность поиска внутри списка событий, углубления в детали для изучения и расследования инцидентов. </w:t>
      </w:r>
    </w:p>
    <w:p w14:paraId="6A0B07B1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включать предопределенные ежечасные, ежедневные, еженедельные и ежемесячные отчеты, в том числе, как минимум, Основные события, Основные источники, Основные пункты назначения, Основные сервисы, Основные источники и их основные события, Основные пункты назначения и их основные события, основные сервисы и их основные события.</w:t>
      </w:r>
    </w:p>
    <w:p w14:paraId="63C56BAA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поддерживать автоматическое распространение отчетов по электронной почте, загрузку на FTP/Веб-сервер и скрипт рассылки внешних пользовательских отчетов. </w:t>
      </w:r>
    </w:p>
    <w:p w14:paraId="4155425F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функционал управления рисками и соответствия требованиям (GRC) – лучших практик безопасности.</w:t>
      </w:r>
    </w:p>
    <w:p w14:paraId="54F5CAAD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оценку соблюдения основных регуляторных требований в режиме реального времени (поддержка стандартов ISO 27001/27002, PCI-DSS, HiPPA, SOX и т.д.).</w:t>
      </w:r>
    </w:p>
    <w:p w14:paraId="62E20918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Решение должно предоставлять рекомендации по реализации лучших практик безопасности. </w:t>
      </w:r>
    </w:p>
    <w:p w14:paraId="3FDA9583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переводить регуляторные требования в инструкции для выполнения лучших практик безопасности.</w:t>
      </w:r>
    </w:p>
    <w:p w14:paraId="4E14A7BC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постоянно контролировать конфигурацию шлюза при помощи лучших практик безопасности.</w:t>
      </w:r>
    </w:p>
    <w:p w14:paraId="1E099B9D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генерировать автоматические отчеты по оценке для определения рейтинга соответствия регуляторным требованиям.</w:t>
      </w:r>
    </w:p>
    <w:p w14:paraId="76A064DD" w14:textId="77777777" w:rsidR="003D701D" w:rsidRPr="003C750D" w:rsidRDefault="00140C53" w:rsidP="003D701D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полностью интегрироваться в Архитектуру программного обеспечения и Инфраструктуру управления.</w:t>
      </w:r>
    </w:p>
    <w:p w14:paraId="27681731" w14:textId="77777777" w:rsidR="00EE6478" w:rsidRPr="003C750D" w:rsidRDefault="00140C53" w:rsidP="00EE6478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Решение должно обеспечивать мгновенное уведомление об изменениях политики, влияющих на соответствие регуляторным требованиям.</w:t>
      </w:r>
    </w:p>
    <w:p w14:paraId="5D43098E" w14:textId="77777777" w:rsidR="00EE6478" w:rsidRPr="003C750D" w:rsidRDefault="00140C53" w:rsidP="00EE6478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Технические требования, поддержка и подписка. Система централизованного управления безопасностью должна быть выполнена в виде програмно-аппаратного комплекса со следующими характеристиками:</w:t>
      </w:r>
    </w:p>
    <w:p w14:paraId="3BBC5A35" w14:textId="2C9EB37E" w:rsidR="00140C53" w:rsidRPr="003C750D" w:rsidRDefault="00140C53" w:rsidP="005C4E5B">
      <w:pPr>
        <w:pStyle w:val="a3"/>
        <w:numPr>
          <w:ilvl w:val="2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Система централизованного управления безопасностью должна быть выполнена в виде программного обеспечения, устанавливаемого на сервера, входящие в список аппаратной совместимости производителя, а так же виртуальные машины, функционирующие в средах виртуализации VMWare, Microsoft, KVM.</w:t>
      </w:r>
    </w:p>
    <w:p w14:paraId="2EB9BFC5" w14:textId="0106E3F3" w:rsidR="00753289" w:rsidRPr="003C750D" w:rsidRDefault="00753289" w:rsidP="00F06715">
      <w:pPr>
        <w:pStyle w:val="a3"/>
        <w:numPr>
          <w:ilvl w:val="0"/>
          <w:numId w:val="5"/>
        </w:numPr>
        <w:ind w:left="851" w:hanging="851"/>
        <w:jc w:val="both"/>
        <w:rPr>
          <w:rFonts w:ascii="Liberation Serif" w:hAnsi="Liberation Serif" w:cs="Times New Roman" w:hint="eastAsia"/>
          <w:b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b/>
          <w:sz w:val="24"/>
          <w:szCs w:val="24"/>
          <w:lang w:val="kk-KZ"/>
        </w:rPr>
        <w:t>Требования к поставщику:</w:t>
      </w:r>
    </w:p>
    <w:p w14:paraId="34B8C344" w14:textId="600669D5" w:rsidR="00333266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Поставщик обязуется произвести поставку </w:t>
      </w:r>
      <w:r w:rsidRPr="003C750D">
        <w:rPr>
          <w:rFonts w:ascii="Liberation Serif" w:hAnsi="Liberation Serif" w:cs="Times New Roman"/>
          <w:sz w:val="24"/>
          <w:szCs w:val="24"/>
        </w:rPr>
        <w:t xml:space="preserve">оборудования </w:t>
      </w:r>
      <w:r w:rsidR="00333266" w:rsidRPr="003C750D">
        <w:rPr>
          <w:rFonts w:ascii="Liberation Serif" w:hAnsi="Liberation Serif" w:cs="Times New Roman"/>
          <w:sz w:val="24"/>
          <w:szCs w:val="24"/>
        </w:rPr>
        <w:t>(оборудование должно быть новым, год выпуска - не ранее 2025 года)</w:t>
      </w:r>
      <w:r w:rsidR="00374544" w:rsidRPr="003C750D">
        <w:rPr>
          <w:rFonts w:ascii="Liberation Serif" w:hAnsi="Liberation Serif" w:cs="Times New Roman"/>
          <w:sz w:val="24"/>
          <w:szCs w:val="24"/>
        </w:rPr>
        <w:t xml:space="preserve"> 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в ДО АО «Банк ВТБ» (Казахстан</w:t>
      </w:r>
      <w:r w:rsidR="002F6021" w:rsidRPr="003C750D">
        <w:rPr>
          <w:rFonts w:ascii="Liberation Serif" w:hAnsi="Liberation Serif" w:cs="Times New Roman"/>
          <w:sz w:val="24"/>
          <w:szCs w:val="24"/>
          <w:lang w:val="kk-KZ"/>
        </w:rPr>
        <w:t>) в течение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</w:t>
      </w:r>
      <w:r w:rsidR="003802A7" w:rsidRPr="003C750D">
        <w:rPr>
          <w:rFonts w:ascii="Liberation Serif" w:hAnsi="Liberation Serif" w:cs="Times New Roman"/>
          <w:sz w:val="24"/>
          <w:szCs w:val="24"/>
          <w:lang w:val="kk-KZ"/>
        </w:rPr>
        <w:t>60 календарных</w:t>
      </w:r>
      <w:r w:rsidR="00333266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дней с даты подписания Д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оговора</w:t>
      </w:r>
      <w:r w:rsidR="003802A7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обеими сторонами</w:t>
      </w:r>
      <w:r w:rsidR="00333266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. </w:t>
      </w:r>
    </w:p>
    <w:p w14:paraId="7170D505" w14:textId="4DD2058F" w:rsidR="00333266" w:rsidRPr="003C750D" w:rsidRDefault="00333266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Гарантия</w:t>
      </w:r>
      <w:r w:rsidR="007A257C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на оборудование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(</w:t>
      </w:r>
      <w:r w:rsidR="007A257C" w:rsidRPr="003C750D">
        <w:rPr>
          <w:rFonts w:ascii="Liberation Serif" w:hAnsi="Liberation Serif" w:cs="Times New Roman"/>
          <w:sz w:val="24"/>
          <w:szCs w:val="24"/>
          <w:lang w:val="kk-KZ"/>
        </w:rPr>
        <w:t>замена оборудования в случае заводского брака и неисправности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) – 36 месяцев</w:t>
      </w:r>
      <w:r w:rsidR="007A257C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с момента активации</w:t>
      </w:r>
    </w:p>
    <w:p w14:paraId="37E9C910" w14:textId="101E4E29" w:rsidR="00F06715" w:rsidRPr="003C750D" w:rsidRDefault="00285DCA" w:rsidP="00285DCA">
      <w:pPr>
        <w:pStyle w:val="a3"/>
        <w:numPr>
          <w:ilvl w:val="1"/>
          <w:numId w:val="5"/>
        </w:numPr>
        <w:ind w:left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Standart Direct Enterprice Support   - 3 Years</w:t>
      </w:r>
      <w:r w:rsidR="00333266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(обновления, консультации, сопровождение)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4061559A" w14:textId="77777777" w:rsidR="00E974E4" w:rsidRPr="003C750D" w:rsidRDefault="00E974E4" w:rsidP="00BB453B">
      <w:pPr>
        <w:pStyle w:val="a3"/>
        <w:numPr>
          <w:ilvl w:val="2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Места поставки</w:t>
      </w:r>
      <w:r w:rsidR="00F06715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: </w:t>
      </w:r>
    </w:p>
    <w:p w14:paraId="677C30D5" w14:textId="714FFF9F" w:rsidR="00BB453B" w:rsidRPr="003C750D" w:rsidRDefault="00E974E4" w:rsidP="00E974E4">
      <w:pPr>
        <w:pStyle w:val="a3"/>
        <w:ind w:left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1. </w:t>
      </w:r>
      <w:r w:rsidR="006F34A2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г. Алматы, ул. Тимирязева 26/29 – 1 МСЭ, 1 Сервер управления</w:t>
      </w:r>
    </w:p>
    <w:p w14:paraId="71AF5DD7" w14:textId="3D35FC7D" w:rsidR="00E974E4" w:rsidRPr="003C750D" w:rsidRDefault="006F34A2" w:rsidP="00E974E4">
      <w:pPr>
        <w:pStyle w:val="a3"/>
        <w:ind w:left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2. </w:t>
      </w:r>
      <w:r w:rsidRPr="003C750D">
        <w:rPr>
          <w:rFonts w:ascii="Liberation Serif" w:hAnsi="Liberation Serif" w:cs="Times New Roman"/>
          <w:sz w:val="24"/>
          <w:szCs w:val="24"/>
        </w:rPr>
        <w:t xml:space="preserve">г. </w:t>
      </w:r>
      <w:proofErr w:type="spellStart"/>
      <w:r w:rsidRPr="003C750D">
        <w:rPr>
          <w:rFonts w:ascii="Liberation Serif" w:hAnsi="Liberation Serif" w:cs="Times New Roman"/>
          <w:sz w:val="24"/>
          <w:szCs w:val="24"/>
        </w:rPr>
        <w:t>Косшы</w:t>
      </w:r>
      <w:proofErr w:type="spellEnd"/>
      <w:r w:rsidRPr="003C750D">
        <w:rPr>
          <w:rFonts w:ascii="Liberation Serif" w:hAnsi="Liberation Serif" w:cs="Times New Roman"/>
          <w:sz w:val="24"/>
          <w:szCs w:val="24"/>
        </w:rPr>
        <w:t>, 3й Северный квартал, 3А – 1 МСЭ</w:t>
      </w:r>
    </w:p>
    <w:p w14:paraId="31A413C1" w14:textId="77777777" w:rsidR="00BB453B" w:rsidRPr="003C750D" w:rsidRDefault="00F06715" w:rsidP="00BB453B">
      <w:pPr>
        <w:pStyle w:val="a3"/>
        <w:numPr>
          <w:ilvl w:val="2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Порядок проведения оплаты: </w:t>
      </w:r>
      <w:r w:rsidR="003802A7" w:rsidRPr="003C750D">
        <w:rPr>
          <w:rFonts w:ascii="Liberation Serif" w:hAnsi="Liberation Serif" w:cs="Times New Roman"/>
          <w:sz w:val="24"/>
          <w:szCs w:val="24"/>
          <w:lang w:val="kk-KZ"/>
        </w:rPr>
        <w:t>10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0</w:t>
      </w:r>
      <w:r w:rsidR="003802A7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</w:t>
      </w:r>
      <w:r w:rsidR="00BB453B" w:rsidRPr="003C750D">
        <w:rPr>
          <w:rFonts w:ascii="Liberation Serif" w:hAnsi="Liberation Serif" w:cs="Times New Roman"/>
          <w:sz w:val="24"/>
          <w:szCs w:val="24"/>
          <w:lang w:val="kk-KZ"/>
        </w:rPr>
        <w:t>% постоплата.</w:t>
      </w:r>
    </w:p>
    <w:p w14:paraId="3BE987A8" w14:textId="06CE4119" w:rsidR="00F06715" w:rsidRPr="003C750D" w:rsidRDefault="00F06715" w:rsidP="00BB453B">
      <w:pPr>
        <w:pStyle w:val="a3"/>
        <w:numPr>
          <w:ilvl w:val="2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Описание и порядок оказания Услуг: Согласно приложению №1 к Техническо</w:t>
      </w:r>
      <w:r w:rsidR="003802A7" w:rsidRPr="003C750D">
        <w:rPr>
          <w:rFonts w:ascii="Liberation Serif" w:hAnsi="Liberation Serif" w:cs="Times New Roman"/>
          <w:sz w:val="24"/>
          <w:szCs w:val="24"/>
          <w:lang w:val="kk-KZ"/>
        </w:rPr>
        <w:t>й спецификации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09060270" w14:textId="77777777" w:rsidR="00F06715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Поставщик обязуется: </w:t>
      </w:r>
    </w:p>
    <w:p w14:paraId="46984453" w14:textId="34EDD50C" w:rsidR="00F06715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предоставить </w:t>
      </w:r>
      <w:r w:rsidR="00285DCA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Standart Direct Enterprice Support   - 3 Years 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от производителя 8х5 согласно приложению №1</w:t>
      </w:r>
      <w:r w:rsidR="00833B64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к Технической спецификации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5A82027C" w14:textId="7EF88279" w:rsidR="00F06715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предпринять все возможные усилия в разумных пределах для быстрого исправления ошибок в </w:t>
      </w:r>
      <w:r w:rsidR="00BB453B" w:rsidRPr="003C750D">
        <w:rPr>
          <w:rFonts w:ascii="Liberation Serif" w:hAnsi="Liberation Serif" w:cs="Times New Roman"/>
          <w:sz w:val="24"/>
          <w:szCs w:val="24"/>
          <w:lang w:val="kk-KZ"/>
        </w:rPr>
        <w:t>оборудовании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48A6432F" w14:textId="4DB343A5" w:rsidR="00F06715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предоставить техническую поддержку и помощь Заказчику в отношении </w:t>
      </w:r>
      <w:r w:rsidR="00BB453B" w:rsidRPr="003C750D">
        <w:rPr>
          <w:rFonts w:ascii="Liberation Serif" w:hAnsi="Liberation Serif" w:cs="Times New Roman"/>
          <w:sz w:val="24"/>
          <w:szCs w:val="24"/>
          <w:lang w:val="kk-KZ"/>
        </w:rPr>
        <w:t>оборудования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, включающую в себя номер телефона для техподдержки, и адрес электронной почты, доступные только Техническому Контактному Лицу.</w:t>
      </w:r>
    </w:p>
    <w:p w14:paraId="2D6C50BF" w14:textId="77777777" w:rsidR="00F06715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предоставлять Заказчику исправления ошибок, новые версии, обновления, расширения системы и улучшения.</w:t>
      </w:r>
    </w:p>
    <w:p w14:paraId="4882CA91" w14:textId="33EB0658" w:rsidR="00BB453B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предпринимать в разумных объемах все необходимые меры для исправления Ошибок в соответствии с</w:t>
      </w:r>
      <w:r w:rsidR="00BB453B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</w:t>
      </w:r>
      <w:r w:rsidR="00080823" w:rsidRPr="003C750D">
        <w:rPr>
          <w:rFonts w:ascii="Liberation Serif" w:hAnsi="Liberation Serif" w:cs="Times New Roman"/>
          <w:sz w:val="24"/>
          <w:szCs w:val="24"/>
          <w:lang w:val="kk-KZ"/>
        </w:rPr>
        <w:t>Приложением №1</w:t>
      </w:r>
      <w:r w:rsidR="003C7C82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к Технической спецификации</w:t>
      </w:r>
      <w:r w:rsidR="00BB453B"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2F626DBA" w14:textId="29F21E57" w:rsidR="00F06715" w:rsidRPr="003C750D" w:rsidRDefault="00F06715" w:rsidP="00F06715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Поставщик так же должен предоставить техническую поддержку и помощь по Системе, включающую в себя:</w:t>
      </w:r>
    </w:p>
    <w:p w14:paraId="0FF0CB54" w14:textId="77777777" w:rsidR="00BB453B" w:rsidRPr="003C750D" w:rsidRDefault="00F06715" w:rsidP="00BB453B">
      <w:pPr>
        <w:pStyle w:val="a3"/>
        <w:numPr>
          <w:ilvl w:val="2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разъяснения функций и возможностей;</w:t>
      </w:r>
    </w:p>
    <w:p w14:paraId="165E56D8" w14:textId="77777777" w:rsidR="00BB453B" w:rsidRPr="003C750D" w:rsidRDefault="00F06715" w:rsidP="00BB453B">
      <w:pPr>
        <w:pStyle w:val="a3"/>
        <w:numPr>
          <w:ilvl w:val="2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разъяснения Документации;</w:t>
      </w:r>
    </w:p>
    <w:p w14:paraId="56B63F77" w14:textId="52BCBFC4" w:rsidR="00F06715" w:rsidRPr="003C750D" w:rsidRDefault="00F06715" w:rsidP="00BB453B">
      <w:pPr>
        <w:pStyle w:val="a3"/>
        <w:numPr>
          <w:ilvl w:val="2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помощь в использовании </w:t>
      </w:r>
      <w:r w:rsidR="00BB453B" w:rsidRPr="003C750D">
        <w:rPr>
          <w:rFonts w:ascii="Liberation Serif" w:hAnsi="Liberation Serif" w:cs="Times New Roman"/>
          <w:sz w:val="24"/>
          <w:szCs w:val="24"/>
          <w:lang w:val="kk-KZ"/>
        </w:rPr>
        <w:t>оборудования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16712ECB" w14:textId="6FB8CFDB" w:rsidR="00087039" w:rsidRPr="003C750D" w:rsidRDefault="00087039" w:rsidP="00087039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Предоставить подтверждающий документ о том, что облада</w:t>
      </w:r>
      <w:proofErr w:type="spellStart"/>
      <w:r w:rsidRPr="003C750D">
        <w:rPr>
          <w:rFonts w:ascii="Liberation Serif" w:hAnsi="Liberation Serif" w:cs="Times New Roman"/>
          <w:sz w:val="24"/>
          <w:szCs w:val="24"/>
        </w:rPr>
        <w:t>ет</w:t>
      </w:r>
      <w:proofErr w:type="spellEnd"/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партнерским статусом Вендора Check Point Software Technologies Ltd. (</w:t>
      </w:r>
      <w:r w:rsidR="00F825F9" w:rsidRPr="003C750D">
        <w:rPr>
          <w:rFonts w:ascii="Liberation Serif" w:hAnsi="Liberation Serif" w:cs="Times New Roman"/>
          <w:sz w:val="24"/>
          <w:szCs w:val="24"/>
          <w:lang w:val="kk-KZ"/>
        </w:rPr>
        <w:t>предоставить документ)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21D33E8E" w14:textId="7B634DBE" w:rsidR="00087039" w:rsidRPr="003C750D" w:rsidRDefault="00087039" w:rsidP="00087039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Имеет в штате не менее двух сертифицированных специалистов по заявляемому программно-аппаратному комплексу межсетевого экранирования, а именно:</w:t>
      </w:r>
    </w:p>
    <w:p w14:paraId="1FD85EB1" w14:textId="3C3D9254" w:rsidR="00087039" w:rsidRPr="003C750D" w:rsidRDefault="00F825F9" w:rsidP="00F825F9">
      <w:pPr>
        <w:pStyle w:val="a3"/>
        <w:numPr>
          <w:ilvl w:val="0"/>
          <w:numId w:val="13"/>
        </w:numPr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1 </w:t>
      </w:r>
      <w:r w:rsidR="00087039" w:rsidRPr="003C750D">
        <w:rPr>
          <w:rFonts w:ascii="Liberation Serif" w:hAnsi="Liberation Serif" w:cs="Times New Roman"/>
          <w:sz w:val="24"/>
          <w:szCs w:val="24"/>
          <w:lang w:val="kk-KZ"/>
        </w:rPr>
        <w:t>специалист с действующим сертификатом Check Point Certified Security Administrator (CCSA)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(предоставить копию действующих сертификатов)</w:t>
      </w:r>
      <w:r w:rsidR="00087039" w:rsidRPr="003C750D">
        <w:rPr>
          <w:rFonts w:ascii="Liberation Serif" w:hAnsi="Liberation Serif" w:cs="Times New Roman"/>
          <w:sz w:val="24"/>
          <w:szCs w:val="24"/>
          <w:lang w:val="kk-KZ"/>
        </w:rPr>
        <w:t>;</w:t>
      </w:r>
    </w:p>
    <w:p w14:paraId="4089837B" w14:textId="1A87EAE5" w:rsidR="00362C23" w:rsidRPr="003C750D" w:rsidRDefault="00F825F9" w:rsidP="00F825F9">
      <w:pPr>
        <w:pStyle w:val="a3"/>
        <w:numPr>
          <w:ilvl w:val="0"/>
          <w:numId w:val="13"/>
        </w:numPr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1</w:t>
      </w:r>
      <w:r w:rsidR="00087039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специалист с действующим сертификатом Check Point Certified Se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curity Master Elite (CCSM Elite (предоставить копию действующих сертификатов)</w:t>
      </w:r>
      <w:r w:rsidR="00087039"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030EBABD" w14:textId="7991CFA2" w:rsidR="00CF5619" w:rsidRPr="003C750D" w:rsidRDefault="00362C23" w:rsidP="001C7B0B">
      <w:pPr>
        <w:pStyle w:val="a3"/>
        <w:numPr>
          <w:ilvl w:val="1"/>
          <w:numId w:val="5"/>
        </w:numPr>
        <w:ind w:left="1276" w:hanging="1418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Предоставить авторизационное письм</w:t>
      </w:r>
      <w:r w:rsidR="00F825F9" w:rsidRPr="003C750D">
        <w:rPr>
          <w:rFonts w:ascii="Liberation Serif" w:hAnsi="Liberation Serif" w:cs="Times New Roman"/>
          <w:sz w:val="24"/>
          <w:szCs w:val="24"/>
          <w:lang w:val="kk-KZ"/>
        </w:rPr>
        <w:t>о от производителя оборудования/ Вендора Check Point Software Technologies Ltd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.</w:t>
      </w:r>
    </w:p>
    <w:p w14:paraId="5D067D5E" w14:textId="2E51A711" w:rsidR="008B1270" w:rsidRPr="003C750D" w:rsidRDefault="001013AB" w:rsidP="001C7B0B">
      <w:pPr>
        <w:pStyle w:val="a3"/>
        <w:numPr>
          <w:ilvl w:val="1"/>
          <w:numId w:val="5"/>
        </w:numPr>
        <w:ind w:left="851" w:hanging="993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Поставщик должен провести</w:t>
      </w:r>
      <w:r w:rsidR="00F825F9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пуско-налодочные работы по инсталляции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и настройк</w:t>
      </w:r>
      <w:r w:rsidR="00F825F9" w:rsidRPr="003C750D">
        <w:rPr>
          <w:rFonts w:ascii="Liberation Serif" w:hAnsi="Liberation Serif" w:cs="Times New Roman"/>
          <w:sz w:val="24"/>
          <w:szCs w:val="24"/>
          <w:lang w:val="kk-KZ"/>
        </w:rPr>
        <w:t>е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оборудования в соответствии с требованиями Заказчика на его площадке</w:t>
      </w:r>
      <w:r w:rsidR="00F825F9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в срок не более 10 рабочих дней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.  Работы должны включать в себя </w:t>
      </w:r>
      <w:r w:rsidR="00F825F9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распаковку и физическую установку оборудования, подключение к электропитанию и сетевой инфраструктуре Покупателя, 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базовые настройки оборудования и программного обеспечения, установку и подключение к существующему оборудованию, перенос текущих правил и настроек</w:t>
      </w:r>
      <w:r w:rsidR="008B1270" w:rsidRPr="003C750D">
        <w:rPr>
          <w:rFonts w:ascii="Liberation Serif" w:hAnsi="Liberation Serif" w:cs="Times New Roman"/>
          <w:sz w:val="24"/>
          <w:szCs w:val="24"/>
          <w:lang w:val="kk-KZ"/>
        </w:rPr>
        <w:t>,</w:t>
      </w:r>
      <w:r w:rsidR="008B1270" w:rsidRPr="003C750D">
        <w:rPr>
          <w:rFonts w:ascii="Liberation Serif" w:hAnsi="Liberation Serif"/>
          <w:sz w:val="24"/>
          <w:szCs w:val="24"/>
        </w:rPr>
        <w:t xml:space="preserve"> </w:t>
      </w:r>
      <w:r w:rsidR="008B1270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интеграцию с системой централизованного управления (в случае необходимости), проведение тестирования работоспособности и ввод Товара в эксплуатацию. 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Выполнить установку обновлений системного и прикладного программного обеспечения до по</w:t>
      </w:r>
      <w:r w:rsidR="008B1270" w:rsidRPr="003C750D">
        <w:rPr>
          <w:rFonts w:ascii="Liberation Serif" w:hAnsi="Liberation Serif" w:cs="Times New Roman"/>
          <w:sz w:val="24"/>
          <w:szCs w:val="24"/>
          <w:lang w:val="kk-KZ"/>
        </w:rPr>
        <w:t>следних сертифицированных версии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на оборудовании Заказчика. </w:t>
      </w:r>
      <w:r w:rsidR="008B1270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Выполнить настройку отказоустойчивых кластеров на оборудовании Заказчика. </w:t>
      </w:r>
      <w:r w:rsidR="008B1270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</w:t>
      </w:r>
      <w:r w:rsidRPr="003C750D">
        <w:rPr>
          <w:rFonts w:ascii="Liberation Serif" w:hAnsi="Liberation Serif" w:cs="Times New Roman"/>
          <w:sz w:val="24"/>
          <w:szCs w:val="24"/>
          <w:lang w:val="kk-KZ"/>
        </w:rPr>
        <w:t>Проводить консультации сотрудников Банка во время запуска и настройки оборудования.</w:t>
      </w:r>
      <w:r w:rsidR="008B1270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</w:t>
      </w:r>
    </w:p>
    <w:p w14:paraId="38B1183D" w14:textId="77777777" w:rsidR="001013AB" w:rsidRPr="003C750D" w:rsidRDefault="001013AB" w:rsidP="001C7B0B">
      <w:pPr>
        <w:pStyle w:val="a3"/>
        <w:numPr>
          <w:ilvl w:val="1"/>
          <w:numId w:val="5"/>
        </w:numPr>
        <w:ind w:left="851" w:hanging="993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Инсталляция и настройка оборудования осуществляется по </w:t>
      </w:r>
      <w:r w:rsidRPr="003C750D">
        <w:rPr>
          <w:rFonts w:ascii="Liberation Serif" w:hAnsi="Liberation Serif" w:cs="Times New Roman"/>
          <w:sz w:val="24"/>
          <w:szCs w:val="24"/>
        </w:rPr>
        <w:t xml:space="preserve">адресам: </w:t>
      </w:r>
    </w:p>
    <w:p w14:paraId="6CA46242" w14:textId="32DD6085" w:rsidR="001013AB" w:rsidRPr="003C750D" w:rsidRDefault="001013AB" w:rsidP="00333266">
      <w:pPr>
        <w:pStyle w:val="a3"/>
        <w:numPr>
          <w:ilvl w:val="0"/>
          <w:numId w:val="11"/>
        </w:numPr>
        <w:ind w:left="851" w:hanging="284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  <w:lang w:val="kk-KZ"/>
        </w:rPr>
        <w:t>г. Алматы, ул. Тимирязева 26/29</w:t>
      </w:r>
      <w:r w:rsidR="00E974E4" w:rsidRPr="003C750D">
        <w:rPr>
          <w:rFonts w:ascii="Liberation Serif" w:hAnsi="Liberation Serif" w:cs="Times New Roman"/>
          <w:sz w:val="24"/>
          <w:szCs w:val="24"/>
          <w:lang w:val="kk-KZ"/>
        </w:rPr>
        <w:t xml:space="preserve"> – 1 МСЭ, 1 Сервер управления</w:t>
      </w:r>
    </w:p>
    <w:p w14:paraId="26075B9F" w14:textId="52B9C96D" w:rsidR="00E974E4" w:rsidRPr="003C750D" w:rsidRDefault="00E974E4" w:rsidP="00333266">
      <w:pPr>
        <w:pStyle w:val="a3"/>
        <w:numPr>
          <w:ilvl w:val="0"/>
          <w:numId w:val="11"/>
        </w:numPr>
        <w:ind w:left="851" w:hanging="284"/>
        <w:jc w:val="both"/>
        <w:rPr>
          <w:rFonts w:ascii="Liberation Serif" w:hAnsi="Liberation Serif" w:cs="Times New Roman" w:hint="eastAsia"/>
          <w:sz w:val="24"/>
          <w:szCs w:val="24"/>
          <w:lang w:val="kk-KZ"/>
        </w:rPr>
      </w:pPr>
      <w:r w:rsidRPr="003C750D">
        <w:rPr>
          <w:rFonts w:ascii="Liberation Serif" w:hAnsi="Liberation Serif" w:cs="Times New Roman"/>
          <w:sz w:val="24"/>
          <w:szCs w:val="24"/>
        </w:rPr>
        <w:t xml:space="preserve">г. </w:t>
      </w:r>
      <w:proofErr w:type="spellStart"/>
      <w:r w:rsidRPr="003C750D">
        <w:rPr>
          <w:rFonts w:ascii="Liberation Serif" w:hAnsi="Liberation Serif" w:cs="Times New Roman"/>
          <w:sz w:val="24"/>
          <w:szCs w:val="24"/>
        </w:rPr>
        <w:t>Косшы</w:t>
      </w:r>
      <w:proofErr w:type="spellEnd"/>
      <w:r w:rsidRPr="003C750D">
        <w:rPr>
          <w:rFonts w:ascii="Liberation Serif" w:hAnsi="Liberation Serif" w:cs="Times New Roman"/>
          <w:sz w:val="24"/>
          <w:szCs w:val="24"/>
        </w:rPr>
        <w:t>, 3й Серверный квартал, 3А – 1 МСЭ</w:t>
      </w:r>
    </w:p>
    <w:p w14:paraId="4FD5EEA4" w14:textId="562F9DC0" w:rsidR="00285DCA" w:rsidRPr="003C750D" w:rsidRDefault="00285DCA" w:rsidP="00026991">
      <w:pPr>
        <w:pStyle w:val="a3"/>
        <w:numPr>
          <w:ilvl w:val="1"/>
          <w:numId w:val="5"/>
        </w:numPr>
        <w:ind w:left="851" w:hanging="993"/>
        <w:jc w:val="both"/>
        <w:rPr>
          <w:rFonts w:ascii="Liberation Serif" w:hAnsi="Liberation Serif" w:cs="Times New Roman" w:hint="eastAsia"/>
          <w:bCs/>
          <w:sz w:val="24"/>
          <w:szCs w:val="24"/>
          <w:lang w:eastAsia="ar-SA"/>
        </w:rPr>
      </w:pPr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В рамках пуско-наладочных работ Поставщик обязуется </w:t>
      </w:r>
      <w:proofErr w:type="gramStart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провести  бесплатный</w:t>
      </w:r>
      <w:proofErr w:type="gramEnd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 вводный обучающий курс по поставляемому оборудованию и программному обеспечению Check Point. Обучение должно быть организова</w:t>
      </w:r>
      <w:r w:rsidR="00026991"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но для представителей Заказчика </w:t>
      </w:r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и включать:</w:t>
      </w:r>
    </w:p>
    <w:p w14:paraId="5D30D93A" w14:textId="77777777" w:rsidR="00285DCA" w:rsidRPr="003C750D" w:rsidRDefault="00285DCA" w:rsidP="00285DCA">
      <w:pPr>
        <w:pStyle w:val="a3"/>
        <w:numPr>
          <w:ilvl w:val="0"/>
          <w:numId w:val="14"/>
        </w:numPr>
        <w:spacing w:after="200"/>
        <w:jc w:val="both"/>
        <w:rPr>
          <w:rFonts w:ascii="Liberation Serif" w:hAnsi="Liberation Serif" w:cs="Times New Roman" w:hint="eastAsia"/>
          <w:bCs/>
          <w:sz w:val="24"/>
          <w:szCs w:val="24"/>
          <w:lang w:eastAsia="ar-SA"/>
        </w:rPr>
      </w:pPr>
      <w:r w:rsidRPr="003C750D">
        <w:rPr>
          <w:rFonts w:ascii="Tahoma" w:hAnsi="Tahoma" w:cs="Tahoma"/>
          <w:bCs/>
          <w:sz w:val="24"/>
          <w:szCs w:val="24"/>
          <w:lang w:eastAsia="ar-SA"/>
        </w:rPr>
        <w:t>﻿﻿</w:t>
      </w:r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Обзор архитектуры решений </w:t>
      </w:r>
      <w:proofErr w:type="spellStart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Check</w:t>
      </w:r>
      <w:proofErr w:type="spellEnd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Point</w:t>
      </w:r>
      <w:proofErr w:type="spellEnd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; </w:t>
      </w:r>
    </w:p>
    <w:p w14:paraId="360A6322" w14:textId="77777777" w:rsidR="00285DCA" w:rsidRPr="003C750D" w:rsidRDefault="00285DCA" w:rsidP="00285DCA">
      <w:pPr>
        <w:pStyle w:val="a3"/>
        <w:numPr>
          <w:ilvl w:val="0"/>
          <w:numId w:val="14"/>
        </w:numPr>
        <w:spacing w:after="200"/>
        <w:jc w:val="both"/>
        <w:rPr>
          <w:rFonts w:ascii="Liberation Serif" w:hAnsi="Liberation Serif" w:cs="Times New Roman" w:hint="eastAsia"/>
          <w:bCs/>
          <w:sz w:val="24"/>
          <w:szCs w:val="24"/>
          <w:lang w:eastAsia="ar-SA"/>
        </w:rPr>
      </w:pPr>
      <w:r w:rsidRPr="003C750D">
        <w:rPr>
          <w:rFonts w:ascii="Tahoma" w:hAnsi="Tahoma" w:cs="Tahoma"/>
          <w:bCs/>
          <w:sz w:val="24"/>
          <w:szCs w:val="24"/>
          <w:lang w:eastAsia="ar-SA"/>
        </w:rPr>
        <w:t>﻿﻿</w:t>
      </w:r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Основы настройки политик безопасности, VPN, </w:t>
      </w:r>
      <w:proofErr w:type="spellStart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логирования</w:t>
      </w:r>
      <w:proofErr w:type="spellEnd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 и </w:t>
      </w:r>
      <w:proofErr w:type="spellStart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Threat</w:t>
      </w:r>
      <w:proofErr w:type="spellEnd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 </w:t>
      </w:r>
      <w:proofErr w:type="spellStart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Prevention</w:t>
      </w:r>
      <w:proofErr w:type="spellEnd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; </w:t>
      </w:r>
    </w:p>
    <w:p w14:paraId="4789D9C1" w14:textId="77777777" w:rsidR="00285DCA" w:rsidRPr="003C750D" w:rsidRDefault="00285DCA" w:rsidP="00285DCA">
      <w:pPr>
        <w:pStyle w:val="a3"/>
        <w:numPr>
          <w:ilvl w:val="0"/>
          <w:numId w:val="14"/>
        </w:numPr>
        <w:spacing w:after="200"/>
        <w:jc w:val="both"/>
        <w:rPr>
          <w:rFonts w:ascii="Liberation Serif" w:hAnsi="Liberation Serif" w:cs="Times New Roman" w:hint="eastAsia"/>
          <w:bCs/>
          <w:sz w:val="24"/>
          <w:szCs w:val="24"/>
          <w:lang w:eastAsia="ar-SA"/>
        </w:rPr>
      </w:pPr>
      <w:r w:rsidRPr="003C750D">
        <w:rPr>
          <w:rFonts w:ascii="Tahoma" w:hAnsi="Tahoma" w:cs="Tahoma"/>
          <w:bCs/>
          <w:sz w:val="24"/>
          <w:szCs w:val="24"/>
          <w:lang w:eastAsia="ar-SA"/>
        </w:rPr>
        <w:t>﻿﻿</w:t>
      </w:r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Практическую демонстрацию базовых функций и интерфейса управления; </w:t>
      </w:r>
    </w:p>
    <w:p w14:paraId="0E73A91E" w14:textId="77777777" w:rsidR="00285DCA" w:rsidRPr="003C750D" w:rsidRDefault="00285DCA" w:rsidP="00285DCA">
      <w:pPr>
        <w:pStyle w:val="a3"/>
        <w:numPr>
          <w:ilvl w:val="0"/>
          <w:numId w:val="14"/>
        </w:numPr>
        <w:spacing w:after="200"/>
        <w:jc w:val="both"/>
        <w:rPr>
          <w:rFonts w:ascii="Liberation Serif" w:hAnsi="Liberation Serif" w:cs="Times New Roman" w:hint="eastAsia"/>
          <w:bCs/>
          <w:sz w:val="24"/>
          <w:szCs w:val="24"/>
          <w:lang w:eastAsia="ar-SA"/>
        </w:rPr>
      </w:pPr>
      <w:r w:rsidRPr="003C750D">
        <w:rPr>
          <w:rFonts w:ascii="Tahoma" w:hAnsi="Tahoma" w:cs="Tahoma"/>
          <w:bCs/>
          <w:sz w:val="24"/>
          <w:szCs w:val="24"/>
          <w:lang w:eastAsia="ar-SA"/>
        </w:rPr>
        <w:t>﻿﻿</w:t>
      </w:r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 xml:space="preserve">Ответы на вопросы участников. </w:t>
      </w:r>
    </w:p>
    <w:p w14:paraId="3C714838" w14:textId="642CF9B6" w:rsidR="00285DCA" w:rsidRPr="003C750D" w:rsidRDefault="00285DCA" w:rsidP="001C7B0B">
      <w:pPr>
        <w:spacing w:after="200"/>
        <w:jc w:val="both"/>
        <w:rPr>
          <w:rFonts w:ascii="Liberation Serif" w:hAnsi="Liberation Serif" w:cs="Times New Roman" w:hint="eastAsia"/>
          <w:bCs/>
          <w:sz w:val="24"/>
          <w:szCs w:val="24"/>
          <w:lang w:val="ru-RU" w:eastAsia="ar-SA"/>
        </w:rPr>
      </w:pPr>
      <w:r w:rsidRPr="003C750D">
        <w:rPr>
          <w:rFonts w:ascii="Liberation Serif" w:hAnsi="Liberation Serif" w:cs="Times New Roman"/>
          <w:bCs/>
          <w:sz w:val="24"/>
          <w:szCs w:val="24"/>
          <w:lang w:val="ru-RU" w:eastAsia="ar-SA"/>
        </w:rPr>
        <w:t xml:space="preserve">Обучение должно быть проведено сертифицированным специалистом или представителем </w:t>
      </w:r>
      <w:proofErr w:type="spellStart"/>
      <w:r w:rsidRPr="003C750D">
        <w:rPr>
          <w:rFonts w:ascii="Liberation Serif" w:hAnsi="Liberation Serif" w:cs="Times New Roman"/>
          <w:bCs/>
          <w:sz w:val="24"/>
          <w:szCs w:val="24"/>
          <w:lang w:eastAsia="ar-SA"/>
        </w:rPr>
        <w:t>CheckPoint</w:t>
      </w:r>
      <w:proofErr w:type="spellEnd"/>
      <w:r w:rsidRPr="003C750D">
        <w:rPr>
          <w:rFonts w:ascii="Liberation Serif" w:hAnsi="Liberation Serif" w:cs="Times New Roman"/>
          <w:bCs/>
          <w:sz w:val="24"/>
          <w:szCs w:val="24"/>
          <w:lang w:val="ru-RU" w:eastAsia="ar-SA"/>
        </w:rPr>
        <w:t>, продолжительность — не менее 3 (трех) рабочих дней, формат - очный или дистанцион</w:t>
      </w:r>
      <w:r w:rsidR="001C7B0B" w:rsidRPr="003C750D">
        <w:rPr>
          <w:rFonts w:ascii="Liberation Serif" w:hAnsi="Liberation Serif" w:cs="Times New Roman"/>
          <w:bCs/>
          <w:sz w:val="24"/>
          <w:szCs w:val="24"/>
          <w:lang w:val="ru-RU" w:eastAsia="ar-SA"/>
        </w:rPr>
        <w:t>ный по согласованию с Заказчиком.</w:t>
      </w:r>
    </w:p>
    <w:p w14:paraId="71000C1B" w14:textId="33AC1792" w:rsidR="00374544" w:rsidRPr="003C750D" w:rsidRDefault="00374544" w:rsidP="00374544">
      <w:pPr>
        <w:pStyle w:val="a3"/>
        <w:numPr>
          <w:ilvl w:val="0"/>
          <w:numId w:val="5"/>
        </w:numPr>
        <w:ind w:left="851" w:hanging="851"/>
        <w:jc w:val="both"/>
        <w:rPr>
          <w:rFonts w:ascii="Liberation Serif" w:hAnsi="Liberation Serif" w:cs="Times New Roman" w:hint="eastAsia"/>
          <w:b/>
          <w:sz w:val="24"/>
          <w:szCs w:val="24"/>
          <w:lang w:val="kk-KZ"/>
        </w:rPr>
      </w:pPr>
      <w:bookmarkStart w:id="1" w:name="_Toc156841213"/>
      <w:r w:rsidRPr="003C750D">
        <w:rPr>
          <w:rFonts w:ascii="Liberation Serif" w:hAnsi="Liberation Serif" w:cs="Times New Roman"/>
          <w:b/>
          <w:sz w:val="24"/>
          <w:szCs w:val="24"/>
          <w:lang w:val="kk-KZ"/>
        </w:rPr>
        <w:t>Требования к эксплуатационной документации</w:t>
      </w:r>
      <w:bookmarkEnd w:id="1"/>
    </w:p>
    <w:p w14:paraId="5C492828" w14:textId="7D966DC7" w:rsidR="00374544" w:rsidRPr="003C750D" w:rsidRDefault="00374544" w:rsidP="00374544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</w:rPr>
      </w:pPr>
      <w:r w:rsidRPr="003C750D">
        <w:rPr>
          <w:rFonts w:ascii="Liberation Serif" w:hAnsi="Liberation Serif" w:cs="Times New Roman"/>
          <w:sz w:val="24"/>
          <w:szCs w:val="24"/>
        </w:rPr>
        <w:t>Эксплуатационная документация Системы должна включать Руководство пользователя и Руководство Администратора.</w:t>
      </w:r>
    </w:p>
    <w:p w14:paraId="05C7CD66" w14:textId="31BC7959" w:rsidR="00374544" w:rsidRPr="003C750D" w:rsidRDefault="00374544" w:rsidP="00374544">
      <w:pPr>
        <w:pStyle w:val="a3"/>
        <w:numPr>
          <w:ilvl w:val="1"/>
          <w:numId w:val="5"/>
        </w:numPr>
        <w:ind w:left="851" w:hanging="851"/>
        <w:jc w:val="both"/>
        <w:rPr>
          <w:rFonts w:ascii="Liberation Serif" w:hAnsi="Liberation Serif" w:cs="Times New Roman" w:hint="eastAsia"/>
          <w:sz w:val="24"/>
          <w:szCs w:val="24"/>
        </w:rPr>
      </w:pPr>
      <w:r w:rsidRPr="003C750D">
        <w:rPr>
          <w:rFonts w:ascii="Liberation Serif" w:hAnsi="Liberation Serif" w:cs="Times New Roman"/>
          <w:sz w:val="24"/>
          <w:szCs w:val="24"/>
        </w:rPr>
        <w:t xml:space="preserve">Документация, поставляемая в комплекте с Системой, должна детально описывать процесс установки, настройки и эксплуатации соответствующего </w:t>
      </w:r>
      <w:r w:rsidR="00A73B6D" w:rsidRPr="003C750D">
        <w:rPr>
          <w:rFonts w:ascii="Liberation Serif" w:hAnsi="Liberation Serif" w:cs="Times New Roman"/>
          <w:sz w:val="24"/>
          <w:szCs w:val="24"/>
        </w:rPr>
        <w:t>оборудования</w:t>
      </w:r>
      <w:r w:rsidRPr="003C750D">
        <w:rPr>
          <w:rFonts w:ascii="Liberation Serif" w:hAnsi="Liberation Serif" w:cs="Times New Roman"/>
          <w:sz w:val="24"/>
          <w:szCs w:val="24"/>
        </w:rPr>
        <w:t>.</w:t>
      </w:r>
    </w:p>
    <w:p w14:paraId="3E949444" w14:textId="77777777" w:rsidR="00753289" w:rsidRPr="003C750D" w:rsidRDefault="00753289" w:rsidP="00753289">
      <w:pPr>
        <w:pStyle w:val="a3"/>
        <w:ind w:left="567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14:paraId="0A6DE823" w14:textId="77777777" w:rsidR="00146539" w:rsidRPr="003C750D" w:rsidRDefault="00146539" w:rsidP="00146539">
      <w:pPr>
        <w:spacing w:after="0"/>
        <w:jc w:val="right"/>
        <w:rPr>
          <w:rFonts w:ascii="Times New Roman" w:eastAsia="Aptos" w:hAnsi="Times New Roman" w:cs="Times New Roman"/>
          <w:sz w:val="20"/>
          <w:lang w:val="ru-RU"/>
        </w:rPr>
      </w:pPr>
    </w:p>
    <w:p w14:paraId="356F3E3D" w14:textId="77777777" w:rsidR="00146539" w:rsidRPr="003C750D" w:rsidRDefault="00146539" w:rsidP="00146539">
      <w:pPr>
        <w:spacing w:after="0"/>
        <w:jc w:val="right"/>
        <w:rPr>
          <w:rFonts w:ascii="Times New Roman" w:eastAsia="Aptos" w:hAnsi="Times New Roman" w:cs="Times New Roman"/>
          <w:sz w:val="24"/>
          <w:szCs w:val="24"/>
          <w:lang w:val="ru-RU"/>
        </w:rPr>
      </w:pPr>
      <w:r w:rsidRPr="003C750D">
        <w:rPr>
          <w:rFonts w:ascii="Times New Roman" w:eastAsia="Aptos" w:hAnsi="Times New Roman" w:cs="Times New Roman"/>
          <w:sz w:val="24"/>
          <w:szCs w:val="24"/>
          <w:lang w:val="ru-RU"/>
        </w:rPr>
        <w:t xml:space="preserve">Приложение № 1 к </w:t>
      </w:r>
    </w:p>
    <w:p w14:paraId="278B314B" w14:textId="77777777" w:rsidR="0000318B" w:rsidRPr="003C750D" w:rsidRDefault="0000318B" w:rsidP="00146539">
      <w:pPr>
        <w:spacing w:after="0"/>
        <w:jc w:val="right"/>
        <w:rPr>
          <w:rFonts w:ascii="Times New Roman" w:eastAsia="Aptos" w:hAnsi="Times New Roman" w:cs="Times New Roman"/>
          <w:sz w:val="24"/>
          <w:szCs w:val="24"/>
          <w:lang w:val="ru-RU"/>
        </w:rPr>
      </w:pPr>
      <w:r w:rsidRPr="003C750D">
        <w:rPr>
          <w:rFonts w:ascii="Times New Roman" w:eastAsia="Aptos" w:hAnsi="Times New Roman" w:cs="Times New Roman"/>
          <w:sz w:val="24"/>
          <w:szCs w:val="24"/>
          <w:lang w:val="ru-RU"/>
        </w:rPr>
        <w:t>Технической спецификации на приобретение</w:t>
      </w:r>
    </w:p>
    <w:p w14:paraId="625B0C90" w14:textId="77777777" w:rsidR="0000318B" w:rsidRPr="003C750D" w:rsidRDefault="0000318B" w:rsidP="00146539">
      <w:pPr>
        <w:spacing w:after="0"/>
        <w:jc w:val="right"/>
        <w:rPr>
          <w:rFonts w:ascii="Times New Roman" w:eastAsia="Aptos" w:hAnsi="Times New Roman" w:cs="Times New Roman"/>
          <w:sz w:val="24"/>
          <w:szCs w:val="24"/>
          <w:lang w:val="ru-RU"/>
        </w:rPr>
      </w:pPr>
      <w:r w:rsidRPr="003C750D">
        <w:rPr>
          <w:rFonts w:ascii="Times New Roman" w:eastAsia="Aptos" w:hAnsi="Times New Roman" w:cs="Times New Roman"/>
          <w:sz w:val="24"/>
          <w:szCs w:val="24"/>
          <w:lang w:val="ru-RU"/>
        </w:rPr>
        <w:t xml:space="preserve"> комплекса межсетевого экранирования с </w:t>
      </w:r>
    </w:p>
    <w:p w14:paraId="0A88C072" w14:textId="77941085" w:rsidR="00146539" w:rsidRPr="003C750D" w:rsidRDefault="0000318B" w:rsidP="00146539">
      <w:pPr>
        <w:spacing w:after="0"/>
        <w:jc w:val="right"/>
        <w:rPr>
          <w:rFonts w:ascii="Times New Roman" w:eastAsia="Aptos" w:hAnsi="Times New Roman" w:cs="Times New Roman"/>
          <w:sz w:val="24"/>
          <w:szCs w:val="24"/>
          <w:lang w:val="ru-RU"/>
        </w:rPr>
      </w:pPr>
      <w:r w:rsidRPr="003C750D">
        <w:rPr>
          <w:rFonts w:ascii="Times New Roman" w:eastAsia="Aptos" w:hAnsi="Times New Roman" w:cs="Times New Roman"/>
          <w:sz w:val="24"/>
          <w:szCs w:val="24"/>
          <w:lang w:val="ru-RU"/>
        </w:rPr>
        <w:t>цен</w:t>
      </w:r>
      <w:r w:rsidR="006F108D" w:rsidRPr="003C750D">
        <w:rPr>
          <w:rFonts w:ascii="Times New Roman" w:eastAsia="Aptos" w:hAnsi="Times New Roman" w:cs="Times New Roman"/>
          <w:sz w:val="24"/>
          <w:szCs w:val="24"/>
          <w:lang w:val="ru-RU"/>
        </w:rPr>
        <w:t xml:space="preserve">трализованным управлением </w:t>
      </w:r>
      <w:proofErr w:type="spellStart"/>
      <w:r w:rsidR="006F108D" w:rsidRPr="003C750D">
        <w:rPr>
          <w:rFonts w:ascii="Times New Roman" w:eastAsia="Aptos" w:hAnsi="Times New Roman" w:cs="Times New Roman"/>
          <w:sz w:val="24"/>
          <w:szCs w:val="24"/>
          <w:lang w:val="ru-RU"/>
        </w:rPr>
        <w:t>Check</w:t>
      </w:r>
      <w:r w:rsidRPr="003C750D">
        <w:rPr>
          <w:rFonts w:ascii="Times New Roman" w:eastAsia="Aptos" w:hAnsi="Times New Roman" w:cs="Times New Roman"/>
          <w:sz w:val="24"/>
          <w:szCs w:val="24"/>
          <w:lang w:val="ru-RU"/>
        </w:rPr>
        <w:t>Point</w:t>
      </w:r>
      <w:proofErr w:type="spellEnd"/>
      <w:r w:rsidR="00146539" w:rsidRPr="003C750D">
        <w:rPr>
          <w:rFonts w:ascii="Times New Roman" w:eastAsia="Aptos" w:hAnsi="Times New Roman" w:cs="Times New Roman"/>
          <w:sz w:val="24"/>
          <w:szCs w:val="24"/>
          <w:lang w:val="ru-RU"/>
        </w:rPr>
        <w:t>.</w:t>
      </w:r>
    </w:p>
    <w:p w14:paraId="3B4B9182" w14:textId="77777777" w:rsidR="00146539" w:rsidRPr="003C750D" w:rsidRDefault="00146539" w:rsidP="00146539">
      <w:pPr>
        <w:spacing w:after="0"/>
        <w:jc w:val="right"/>
        <w:rPr>
          <w:rFonts w:ascii="Times New Roman" w:eastAsia="Aptos" w:hAnsi="Times New Roman" w:cs="Times New Roman"/>
          <w:sz w:val="24"/>
          <w:szCs w:val="24"/>
          <w:lang w:val="ru-RU"/>
        </w:rPr>
      </w:pPr>
    </w:p>
    <w:tbl>
      <w:tblPr>
        <w:tblStyle w:val="1"/>
        <w:tblW w:w="9571" w:type="dxa"/>
        <w:tblBorders>
          <w:top w:val="single" w:sz="4" w:space="0" w:color="2C7FCE"/>
          <w:left w:val="single" w:sz="4" w:space="0" w:color="2C7FCE"/>
          <w:bottom w:val="single" w:sz="4" w:space="0" w:color="2C7FCE"/>
          <w:right w:val="single" w:sz="4" w:space="0" w:color="2C7FCE"/>
          <w:insideH w:val="single" w:sz="4" w:space="0" w:color="2C7FCE"/>
          <w:insideV w:val="single" w:sz="4" w:space="0" w:color="2C7FCE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037"/>
      </w:tblGrid>
      <w:tr w:rsidR="00146539" w:rsidRPr="003C750D" w14:paraId="00CD0F60" w14:textId="77777777" w:rsidTr="00146539">
        <w:tc>
          <w:tcPr>
            <w:tcW w:w="534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  <w:shd w:val="clear" w:color="auto" w:fill="B9D5F0"/>
          </w:tcPr>
          <w:p w14:paraId="5D19F5A0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1</w:t>
            </w:r>
          </w:p>
        </w:tc>
        <w:tc>
          <w:tcPr>
            <w:tcW w:w="9037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  <w:shd w:val="clear" w:color="auto" w:fill="B9D5F0"/>
          </w:tcPr>
          <w:p w14:paraId="47F0ED51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Состав услуг</w:t>
            </w:r>
          </w:p>
        </w:tc>
      </w:tr>
      <w:tr w:rsidR="00146539" w:rsidRPr="00480D60" w14:paraId="3D4BE091" w14:textId="77777777" w:rsidTr="00146539">
        <w:trPr>
          <w:trHeight w:val="995"/>
        </w:trPr>
        <w:tc>
          <w:tcPr>
            <w:tcW w:w="534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</w:tcPr>
          <w:p w14:paraId="55D38C46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</w:p>
        </w:tc>
        <w:tc>
          <w:tcPr>
            <w:tcW w:w="9037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</w:tcPr>
          <w:p w14:paraId="36233E7B" w14:textId="79A766A6" w:rsidR="00146539" w:rsidRPr="003C750D" w:rsidRDefault="00146539" w:rsidP="003200E2">
            <w:pPr>
              <w:jc w:val="center"/>
              <w:rPr>
                <w:rFonts w:ascii="Times New Roman" w:eastAsia="Aptos" w:hAnsi="Times New Roman"/>
                <w:b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 xml:space="preserve">Оказание услуг по технической поддержке работоспособности </w:t>
            </w:r>
            <w:r w:rsidR="003200E2"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 xml:space="preserve">оборудования </w:t>
            </w:r>
            <w:proofErr w:type="spellStart"/>
            <w:r w:rsidR="006F108D"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>Check</w:t>
            </w:r>
            <w:r w:rsidR="003200E2"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>Point</w:t>
            </w:r>
            <w:proofErr w:type="spellEnd"/>
          </w:p>
          <w:p w14:paraId="0120BFD7" w14:textId="2C05A7A9" w:rsidR="00146539" w:rsidRPr="003C750D" w:rsidRDefault="00146539" w:rsidP="00146539">
            <w:pPr>
              <w:numPr>
                <w:ilvl w:val="0"/>
                <w:numId w:val="7"/>
              </w:numPr>
              <w:tabs>
                <w:tab w:val="center" w:pos="4844"/>
                <w:tab w:val="left" w:pos="8040"/>
              </w:tabs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Aptos" w:hAnsi="Times New Roman"/>
                <w:b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b/>
                <w:sz w:val="20"/>
                <w:lang w:val="ru-RU"/>
              </w:rPr>
              <w:t xml:space="preserve">Описание и порядок оказания Услуг </w:t>
            </w:r>
            <w:r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 xml:space="preserve">по технической поддержке работоспособности </w:t>
            </w:r>
            <w:r w:rsidR="003200E2"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 xml:space="preserve">оборудования </w:t>
            </w:r>
            <w:proofErr w:type="spellStart"/>
            <w:r w:rsidR="006F108D"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>Check</w:t>
            </w:r>
            <w:r w:rsidR="003200E2"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>Point</w:t>
            </w:r>
            <w:proofErr w:type="spellEnd"/>
            <w:r w:rsidRPr="003C750D" w:rsidDel="001220C4">
              <w:rPr>
                <w:rFonts w:ascii="Times New Roman" w:eastAsia="Aptos" w:hAnsi="Times New Roman"/>
                <w:b/>
                <w:sz w:val="20"/>
                <w:lang w:val="ru-RU"/>
              </w:rPr>
              <w:t xml:space="preserve"> </w:t>
            </w:r>
            <w:r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>(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далее - </w:t>
            </w:r>
            <w:r w:rsidR="003200E2" w:rsidRPr="003C750D">
              <w:rPr>
                <w:rFonts w:ascii="Times New Roman" w:eastAsia="Aptos" w:hAnsi="Times New Roman"/>
                <w:sz w:val="20"/>
                <w:lang w:val="ru-RU"/>
              </w:rPr>
              <w:t>оборудование</w:t>
            </w:r>
            <w:r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>)</w:t>
            </w:r>
          </w:p>
          <w:p w14:paraId="606C55B3" w14:textId="77777777" w:rsidR="00146539" w:rsidRPr="003C750D" w:rsidRDefault="00146539" w:rsidP="00146539">
            <w:pPr>
              <w:numPr>
                <w:ilvl w:val="1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b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b/>
                <w:sz w:val="20"/>
                <w:lang w:val="ru-RU"/>
              </w:rPr>
              <w:t xml:space="preserve">Услуги включают в себя: </w:t>
            </w:r>
          </w:p>
          <w:p w14:paraId="37208F84" w14:textId="459D5E4C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 xml:space="preserve">Предоставление консультационной помощи по вопросам установки и эксплуатации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 xml:space="preserve">, включая идентификацию ошибок в работе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 xml:space="preserve"> и выработку решений по их устранению;</w:t>
            </w:r>
          </w:p>
          <w:p w14:paraId="772E97F0" w14:textId="5468E2AA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 xml:space="preserve">Устранение ошибок в работе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 xml:space="preserve">, в </w:t>
            </w:r>
            <w:proofErr w:type="spellStart"/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>т.ч</w:t>
            </w:r>
            <w:proofErr w:type="spellEnd"/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 xml:space="preserve">. вызванных изменениями ИТ-систем, с которыми взаимодействует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оборудование</w:t>
            </w: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>;</w:t>
            </w:r>
          </w:p>
          <w:p w14:paraId="5187BBFC" w14:textId="7F780282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23" w:hanging="623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Проведение резервного копирования критичных компонентов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;</w:t>
            </w:r>
          </w:p>
          <w:p w14:paraId="5F439EAB" w14:textId="52EAEB28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Диагностирование потенциальных проблем при функционировании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, формирование рекомендаций по оптимизации настроек и конфигурации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;</w:t>
            </w:r>
          </w:p>
          <w:p w14:paraId="402AE415" w14:textId="1F87200F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Настройку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после ее восстановления;</w:t>
            </w:r>
          </w:p>
          <w:p w14:paraId="487CCAED" w14:textId="100528F0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Устранение ошибок и неисправностей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;</w:t>
            </w:r>
          </w:p>
          <w:p w14:paraId="7681C301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Предоставление отчетов об оказанных Услугах по окончанию каждого периода оказания Услуг.</w:t>
            </w:r>
          </w:p>
          <w:p w14:paraId="6B23068E" w14:textId="77777777" w:rsidR="00146539" w:rsidRPr="003C750D" w:rsidRDefault="00146539" w:rsidP="00146539">
            <w:pPr>
              <w:spacing w:before="120" w:after="120"/>
              <w:ind w:left="1440"/>
              <w:contextualSpacing/>
              <w:jc w:val="both"/>
              <w:rPr>
                <w:rFonts w:ascii="Times New Roman" w:eastAsia="Courier New" w:hAnsi="Times New Roman"/>
                <w:sz w:val="20"/>
                <w:lang w:val="ru-RU"/>
              </w:rPr>
            </w:pPr>
          </w:p>
          <w:p w14:paraId="39BF65E7" w14:textId="77777777" w:rsidR="00146539" w:rsidRPr="003C750D" w:rsidRDefault="00146539" w:rsidP="00146539">
            <w:pPr>
              <w:numPr>
                <w:ilvl w:val="1"/>
                <w:numId w:val="7"/>
              </w:numPr>
              <w:spacing w:before="120" w:after="120" w:line="240" w:lineRule="auto"/>
              <w:ind w:left="632" w:hanging="632"/>
              <w:contextualSpacing/>
              <w:jc w:val="both"/>
              <w:rPr>
                <w:rFonts w:ascii="Times New Roman" w:eastAsia="Courier New" w:hAnsi="Times New Roman"/>
                <w:b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b/>
                <w:sz w:val="20"/>
                <w:lang w:val="ru-RU"/>
              </w:rPr>
              <w:t>Порядок оказания Услуг:</w:t>
            </w:r>
          </w:p>
          <w:p w14:paraId="7EB5338B" w14:textId="77777777" w:rsidR="00146539" w:rsidRPr="003C750D" w:rsidRDefault="00146539" w:rsidP="00146539">
            <w:pPr>
              <w:numPr>
                <w:ilvl w:val="2"/>
                <w:numId w:val="7"/>
              </w:numPr>
              <w:spacing w:after="0" w:line="240" w:lineRule="auto"/>
              <w:ind w:left="632" w:hanging="632"/>
              <w:contextualSpacing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 xml:space="preserve">В рамках оказания Услуг предусмотрены следующие уровни поддержки: </w:t>
            </w:r>
          </w:p>
          <w:tbl>
            <w:tblPr>
              <w:tblStyle w:val="1"/>
              <w:tblW w:w="7704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5712"/>
            </w:tblGrid>
            <w:tr w:rsidR="00146539" w:rsidRPr="003C750D" w14:paraId="62677454" w14:textId="77777777" w:rsidTr="00BC7746">
              <w:trPr>
                <w:jc w:val="center"/>
              </w:trPr>
              <w:tc>
                <w:tcPr>
                  <w:tcW w:w="1992" w:type="dxa"/>
                </w:tcPr>
                <w:p w14:paraId="08875987" w14:textId="77777777" w:rsidR="00146539" w:rsidRPr="003C750D" w:rsidRDefault="00146539" w:rsidP="00146539">
                  <w:pPr>
                    <w:ind w:left="36"/>
                    <w:contextualSpacing/>
                    <w:jc w:val="center"/>
                    <w:rPr>
                      <w:rFonts w:ascii="Times New Roman" w:eastAsia="Courier New" w:hAnsi="Times New Roman"/>
                      <w:b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Courier New" w:hAnsi="Times New Roman"/>
                      <w:b/>
                      <w:sz w:val="20"/>
                      <w:lang w:val="ru-RU"/>
                    </w:rPr>
                    <w:t>Наименование уровня поддержки</w:t>
                  </w:r>
                </w:p>
              </w:tc>
              <w:tc>
                <w:tcPr>
                  <w:tcW w:w="5712" w:type="dxa"/>
                </w:tcPr>
                <w:p w14:paraId="4B825799" w14:textId="77777777" w:rsidR="00146539" w:rsidRPr="003C750D" w:rsidRDefault="00146539" w:rsidP="00146539">
                  <w:pPr>
                    <w:ind w:left="68"/>
                    <w:contextualSpacing/>
                    <w:jc w:val="center"/>
                    <w:rPr>
                      <w:rFonts w:ascii="Times New Roman" w:eastAsia="Courier New" w:hAnsi="Times New Roman"/>
                      <w:b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Courier New" w:hAnsi="Times New Roman"/>
                      <w:b/>
                      <w:sz w:val="20"/>
                      <w:lang w:val="ru-RU"/>
                    </w:rPr>
                    <w:t>Характеристика уровня поддержки</w:t>
                  </w:r>
                </w:p>
              </w:tc>
            </w:tr>
            <w:tr w:rsidR="00146539" w:rsidRPr="00480D60" w14:paraId="4A59682C" w14:textId="77777777" w:rsidTr="00BC7746">
              <w:trPr>
                <w:trHeight w:val="543"/>
                <w:jc w:val="center"/>
              </w:trPr>
              <w:tc>
                <w:tcPr>
                  <w:tcW w:w="1992" w:type="dxa"/>
                </w:tcPr>
                <w:p w14:paraId="35E69C00" w14:textId="77777777" w:rsidR="00146539" w:rsidRPr="003C750D" w:rsidRDefault="00146539" w:rsidP="00146539">
                  <w:pPr>
                    <w:ind w:left="36"/>
                    <w:contextualSpacing/>
                    <w:jc w:val="center"/>
                    <w:rPr>
                      <w:rFonts w:ascii="Times New Roman" w:eastAsia="Courier New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8х5</w:t>
                  </w:r>
                </w:p>
              </w:tc>
              <w:tc>
                <w:tcPr>
                  <w:tcW w:w="5712" w:type="dxa"/>
                </w:tcPr>
                <w:p w14:paraId="6AFB6B89" w14:textId="115AD793" w:rsidR="00146539" w:rsidRPr="003C750D" w:rsidRDefault="00146539" w:rsidP="006F34A2">
                  <w:pPr>
                    <w:ind w:left="68"/>
                    <w:contextualSpacing/>
                    <w:jc w:val="center"/>
                    <w:rPr>
                      <w:rFonts w:ascii="Times New Roman" w:eastAsia="Courier New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8 часов в сутки, 5 дней в неделю с понедельника по пятницу, с 9:00 до 18:00 по времени А</w:t>
                  </w:r>
                  <w:r w:rsidR="006F34A2"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станы</w:t>
                  </w: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 xml:space="preserve"> Казахстан, исключая выходные и праздничные дни.</w:t>
                  </w:r>
                </w:p>
              </w:tc>
            </w:tr>
          </w:tbl>
          <w:p w14:paraId="62FE2E22" w14:textId="77777777" w:rsidR="00146539" w:rsidRPr="003C750D" w:rsidRDefault="00146539" w:rsidP="00146539">
            <w:pPr>
              <w:numPr>
                <w:ilvl w:val="2"/>
                <w:numId w:val="7"/>
              </w:numPr>
              <w:spacing w:after="0" w:line="240" w:lineRule="auto"/>
              <w:ind w:left="632" w:hanging="632"/>
              <w:contextualSpacing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>Услуги, указанные в п.1.1, оказываются по телефону и электронной почте. Реакция предполагает обратный звонок специалиста поставщика для определения технических подробностей проблемы, консультацию и при необходимости инициацию работ.</w:t>
            </w:r>
          </w:p>
          <w:p w14:paraId="4C3CB980" w14:textId="77777777" w:rsidR="00146539" w:rsidRPr="003C750D" w:rsidRDefault="00146539" w:rsidP="00146539">
            <w:pPr>
              <w:numPr>
                <w:ilvl w:val="2"/>
                <w:numId w:val="7"/>
              </w:numPr>
              <w:spacing w:after="0" w:line="240" w:lineRule="auto"/>
              <w:ind w:left="632" w:hanging="632"/>
              <w:contextualSpacing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>Услуги оказываются на основании запросов Заказчика, направляемых поставщику (далее – Запросы) в порядке, указанном в п.1.3;</w:t>
            </w:r>
          </w:p>
          <w:p w14:paraId="50A53399" w14:textId="77777777" w:rsidR="00146539" w:rsidRPr="003C750D" w:rsidRDefault="00146539" w:rsidP="00146539">
            <w:pPr>
              <w:numPr>
                <w:ilvl w:val="2"/>
                <w:numId w:val="7"/>
              </w:numPr>
              <w:spacing w:after="0" w:line="240" w:lineRule="auto"/>
              <w:ind w:left="632" w:hanging="632"/>
              <w:contextualSpacing/>
              <w:rPr>
                <w:rFonts w:ascii="Times New Roman" w:eastAsia="Courier New" w:hAnsi="Times New Roman"/>
                <w:sz w:val="20"/>
                <w:lang w:val="ru-RU"/>
              </w:rPr>
            </w:pPr>
            <w:r w:rsidRPr="003C750D">
              <w:rPr>
                <w:rFonts w:ascii="Times New Roman" w:eastAsia="Courier New" w:hAnsi="Times New Roman"/>
                <w:sz w:val="20"/>
                <w:lang w:val="ru-RU"/>
              </w:rPr>
              <w:t>Уровни критичности, присваиваемые Запросам, приведены в таблице ниже:</w:t>
            </w:r>
          </w:p>
          <w:p w14:paraId="6CB95516" w14:textId="77777777" w:rsidR="00146539" w:rsidRPr="003C750D" w:rsidRDefault="00146539" w:rsidP="00146539">
            <w:pPr>
              <w:ind w:left="632"/>
              <w:contextualSpacing/>
              <w:rPr>
                <w:rFonts w:ascii="Times New Roman" w:eastAsia="Courier New" w:hAnsi="Times New Roman"/>
                <w:sz w:val="20"/>
                <w:lang w:val="ru-RU"/>
              </w:rPr>
            </w:pPr>
          </w:p>
          <w:tbl>
            <w:tblPr>
              <w:tblStyle w:val="1"/>
              <w:tblW w:w="8647" w:type="dxa"/>
              <w:tblInd w:w="52" w:type="dxa"/>
              <w:tblLayout w:type="fixed"/>
              <w:tblLook w:val="04A0" w:firstRow="1" w:lastRow="0" w:firstColumn="1" w:lastColumn="0" w:noHBand="0" w:noVBand="1"/>
            </w:tblPr>
            <w:tblGrid>
              <w:gridCol w:w="1283"/>
              <w:gridCol w:w="5103"/>
              <w:gridCol w:w="1127"/>
              <w:gridCol w:w="1134"/>
            </w:tblGrid>
            <w:tr w:rsidR="00146539" w:rsidRPr="003C750D" w14:paraId="02C8319C" w14:textId="77777777" w:rsidTr="00BC7746">
              <w:tc>
                <w:tcPr>
                  <w:tcW w:w="1283" w:type="dxa"/>
                </w:tcPr>
                <w:p w14:paraId="1D022B66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  <w:t>Приоритет Запроса</w:t>
                  </w:r>
                </w:p>
              </w:tc>
              <w:tc>
                <w:tcPr>
                  <w:tcW w:w="5103" w:type="dxa"/>
                </w:tcPr>
                <w:p w14:paraId="7747AC03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  <w:t>Критерии присвоения приоритета Запросу</w:t>
                  </w:r>
                </w:p>
              </w:tc>
              <w:tc>
                <w:tcPr>
                  <w:tcW w:w="1127" w:type="dxa"/>
                </w:tcPr>
                <w:p w14:paraId="139EE5A1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  <w:t>Время реакции</w:t>
                  </w:r>
                </w:p>
              </w:tc>
              <w:tc>
                <w:tcPr>
                  <w:tcW w:w="1134" w:type="dxa"/>
                </w:tcPr>
                <w:p w14:paraId="51DC12C0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b/>
                      <w:sz w:val="20"/>
                      <w:lang w:val="ru-RU"/>
                    </w:rPr>
                    <w:t>Срок устранения</w:t>
                  </w:r>
                </w:p>
              </w:tc>
            </w:tr>
            <w:tr w:rsidR="00146539" w:rsidRPr="003C750D" w14:paraId="68CD523B" w14:textId="77777777" w:rsidTr="00BC7746">
              <w:tc>
                <w:tcPr>
                  <w:tcW w:w="1283" w:type="dxa"/>
                </w:tcPr>
                <w:p w14:paraId="5523E9B0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Очень высокий</w:t>
                  </w:r>
                </w:p>
              </w:tc>
              <w:tc>
                <w:tcPr>
                  <w:tcW w:w="5103" w:type="dxa"/>
                </w:tcPr>
                <w:p w14:paraId="5DC8F1BC" w14:textId="163FD6D3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Отказ функционирования </w:t>
                  </w:r>
                  <w:r w:rsidR="00037766"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оборудования</w:t>
                  </w: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, потеря данных, искажение данных, аварийная перезагрузка </w:t>
                  </w: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Системы</w:t>
                  </w: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, существенная деградация производительности, блокирующая работу </w:t>
                  </w:r>
                  <w:r w:rsidR="00037766"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оборудования</w:t>
                  </w: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. Обходные решения отсутствуют.</w:t>
                  </w:r>
                </w:p>
              </w:tc>
              <w:tc>
                <w:tcPr>
                  <w:tcW w:w="1127" w:type="dxa"/>
                </w:tcPr>
                <w:p w14:paraId="00EEA041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1 часа </w:t>
                  </w:r>
                </w:p>
              </w:tc>
              <w:tc>
                <w:tcPr>
                  <w:tcW w:w="1134" w:type="dxa"/>
                </w:tcPr>
                <w:p w14:paraId="5D8680C1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4 часов</w:t>
                  </w:r>
                </w:p>
                <w:p w14:paraId="0C064D3A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</w:p>
              </w:tc>
            </w:tr>
            <w:tr w:rsidR="00146539" w:rsidRPr="003C750D" w14:paraId="3E6AEE5F" w14:textId="77777777" w:rsidTr="00BC7746">
              <w:tc>
                <w:tcPr>
                  <w:tcW w:w="1283" w:type="dxa"/>
                </w:tcPr>
                <w:p w14:paraId="27D88910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Высокий</w:t>
                  </w:r>
                </w:p>
              </w:tc>
              <w:tc>
                <w:tcPr>
                  <w:tcW w:w="5103" w:type="dxa"/>
                </w:tcPr>
                <w:p w14:paraId="390EE64E" w14:textId="6E0E09EC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 xml:space="preserve">Падение производительности. Риск потери или повреждения данных. Не прохождение важных операций обслуживания (резервного копирования, синхронизации данных и т.п.). </w:t>
                  </w: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Операции в </w:t>
                  </w:r>
                  <w:r w:rsidR="00037766"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оборудовании</w:t>
                  </w: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 проводятся в ограниченном режиме, деградация производительности. Обходные решения отсутствуют.</w:t>
                  </w:r>
                </w:p>
              </w:tc>
              <w:tc>
                <w:tcPr>
                  <w:tcW w:w="1127" w:type="dxa"/>
                </w:tcPr>
                <w:p w14:paraId="0BA620B8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4 часа</w:t>
                  </w:r>
                </w:p>
                <w:p w14:paraId="7F41F946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104E8BE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8 часов</w:t>
                  </w:r>
                </w:p>
                <w:p w14:paraId="546193AB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</w:p>
              </w:tc>
            </w:tr>
            <w:tr w:rsidR="00146539" w:rsidRPr="003C750D" w14:paraId="392BBE18" w14:textId="77777777" w:rsidTr="00BC7746">
              <w:tc>
                <w:tcPr>
                  <w:tcW w:w="1283" w:type="dxa"/>
                </w:tcPr>
                <w:p w14:paraId="274797E4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Средний</w:t>
                  </w:r>
                </w:p>
              </w:tc>
              <w:tc>
                <w:tcPr>
                  <w:tcW w:w="5103" w:type="dxa"/>
                </w:tcPr>
                <w:p w14:paraId="009AD675" w14:textId="7F8E5A09" w:rsidR="00146539" w:rsidRPr="003C750D" w:rsidRDefault="00146539" w:rsidP="00037766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Выполнение сервисов, на которые рассчитана обслуживаем</w:t>
                  </w:r>
                  <w:r w:rsidR="00037766"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ое оборудование</w:t>
                  </w: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 xml:space="preserve">, возможно с незначительными затруднениями. Сбой вызывает некоторые неудобства. </w:t>
                  </w: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Незначительные затруднения реализации функционала </w:t>
                  </w:r>
                  <w:r w:rsidR="00037766"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>оборудования</w:t>
                  </w: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. Д</w:t>
                  </w:r>
                  <w:r w:rsidRPr="003C750D">
                    <w:rPr>
                      <w:rFonts w:ascii="Times New Roman" w:eastAsia="Courier New" w:hAnsi="Times New Roman"/>
                      <w:sz w:val="20"/>
                      <w:lang w:val="ru-RU"/>
                    </w:rPr>
                    <w:t xml:space="preserve">ля восстановления функциональности может быть использован обходной путь решения проблемы. </w:t>
                  </w:r>
                </w:p>
              </w:tc>
              <w:tc>
                <w:tcPr>
                  <w:tcW w:w="1127" w:type="dxa"/>
                </w:tcPr>
                <w:p w14:paraId="4F21E4B3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8 часов</w:t>
                  </w:r>
                </w:p>
                <w:p w14:paraId="624F8895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037B477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24 часа</w:t>
                  </w:r>
                </w:p>
                <w:p w14:paraId="14130822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</w:p>
              </w:tc>
            </w:tr>
            <w:tr w:rsidR="00146539" w:rsidRPr="003C750D" w14:paraId="1067E444" w14:textId="77777777" w:rsidTr="00BC7746">
              <w:tc>
                <w:tcPr>
                  <w:tcW w:w="1283" w:type="dxa"/>
                </w:tcPr>
                <w:p w14:paraId="5E286BF8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Низкий</w:t>
                  </w:r>
                </w:p>
              </w:tc>
              <w:tc>
                <w:tcPr>
                  <w:tcW w:w="5103" w:type="dxa"/>
                </w:tcPr>
                <w:p w14:paraId="4FC2ED59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 xml:space="preserve">Запрос консультаций, предоставление документации, Запросы по иным вопросам, не входящим в иные уровни критичности настоящей таблицы.  </w:t>
                  </w:r>
                </w:p>
              </w:tc>
              <w:tc>
                <w:tcPr>
                  <w:tcW w:w="1127" w:type="dxa"/>
                </w:tcPr>
                <w:p w14:paraId="04184A86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24 часа</w:t>
                  </w:r>
                </w:p>
                <w:p w14:paraId="32EFAC54" w14:textId="77777777" w:rsidR="00146539" w:rsidRPr="003C750D" w:rsidRDefault="00146539" w:rsidP="00146539">
                  <w:pPr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</w:p>
              </w:tc>
              <w:tc>
                <w:tcPr>
                  <w:tcW w:w="1134" w:type="dxa"/>
                </w:tcPr>
                <w:p w14:paraId="2FB2EE74" w14:textId="77777777" w:rsidR="00146539" w:rsidRPr="003C750D" w:rsidRDefault="00146539" w:rsidP="00146539">
                  <w:pPr>
                    <w:contextualSpacing/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  <w:r w:rsidRPr="003C750D">
                    <w:rPr>
                      <w:rFonts w:ascii="Times New Roman" w:eastAsia="Aptos" w:hAnsi="Times New Roman"/>
                      <w:sz w:val="20"/>
                      <w:lang w:val="ru-RU"/>
                    </w:rPr>
                    <w:t>48 часов</w:t>
                  </w:r>
                </w:p>
                <w:p w14:paraId="7E72AD1B" w14:textId="77777777" w:rsidR="00146539" w:rsidRPr="003C750D" w:rsidRDefault="00146539" w:rsidP="00146539">
                  <w:pPr>
                    <w:contextualSpacing/>
                    <w:rPr>
                      <w:rFonts w:ascii="Times New Roman" w:eastAsia="Aptos" w:hAnsi="Times New Roman"/>
                      <w:sz w:val="20"/>
                      <w:lang w:val="ru-RU"/>
                    </w:rPr>
                  </w:pPr>
                </w:p>
              </w:tc>
            </w:tr>
          </w:tbl>
          <w:p w14:paraId="7CACB720" w14:textId="77777777" w:rsidR="00146539" w:rsidRPr="003C750D" w:rsidRDefault="00146539" w:rsidP="00146539">
            <w:pPr>
              <w:numPr>
                <w:ilvl w:val="1"/>
                <w:numId w:val="7"/>
              </w:numPr>
              <w:spacing w:before="120" w:after="12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b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>Порядок регистрации Запросов:</w:t>
            </w:r>
          </w:p>
          <w:p w14:paraId="08FA5032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25" w:hanging="625"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Прием Запросов производится ответственными специалистами Поставщика. 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Запросы имеют право направлять ответственные специалисты Заказчика.</w:t>
            </w:r>
          </w:p>
          <w:p w14:paraId="05E35487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120" w:line="240" w:lineRule="auto"/>
              <w:ind w:left="625" w:hanging="625"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Запрос Заказчика должен содержать следующую информацию:</w:t>
            </w:r>
          </w:p>
          <w:p w14:paraId="7D2E61A8" w14:textId="77777777" w:rsidR="00146539" w:rsidRPr="003C750D" w:rsidRDefault="00146539" w:rsidP="00146539">
            <w:pPr>
              <w:numPr>
                <w:ilvl w:val="0"/>
                <w:numId w:val="6"/>
              </w:numPr>
              <w:spacing w:after="0" w:line="240" w:lineRule="auto"/>
              <w:ind w:left="1192" w:hanging="567"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имя, фамилию и контактную информацию лица, непосредственно столкнувшегося с проблемой (если с проблемой столкнулось не лицо, направляющее Запрос);</w:t>
            </w:r>
          </w:p>
          <w:p w14:paraId="77656715" w14:textId="77777777" w:rsidR="00146539" w:rsidRPr="003C750D" w:rsidRDefault="00146539" w:rsidP="00146539">
            <w:pPr>
              <w:numPr>
                <w:ilvl w:val="0"/>
                <w:numId w:val="6"/>
              </w:numPr>
              <w:spacing w:after="0" w:line="240" w:lineRule="auto"/>
              <w:ind w:left="1192" w:hanging="567"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критичность Запроса согласно классификации таблицы, перечисленной в пп.1.2.4;</w:t>
            </w:r>
          </w:p>
          <w:p w14:paraId="083096FB" w14:textId="77777777" w:rsidR="00146539" w:rsidRPr="003C750D" w:rsidRDefault="00146539" w:rsidP="00146539">
            <w:pPr>
              <w:numPr>
                <w:ilvl w:val="0"/>
                <w:numId w:val="6"/>
              </w:numPr>
              <w:spacing w:after="0" w:line="240" w:lineRule="auto"/>
              <w:ind w:left="1192" w:hanging="567"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подробное описание сути Запроса или нештатной ситуации;</w:t>
            </w:r>
          </w:p>
          <w:p w14:paraId="4B1CC285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Заказчик при подаче Запроса обязан придерживаться следующего правила: одному Запросу соответствует одно требование об оказании Услуг. В случае возникновения у Заказчика новых требований при решении Запроса, Заказчик направляет поставщику новые Запросы;</w:t>
            </w:r>
          </w:p>
          <w:p w14:paraId="295F5005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В случае повторного обращения по одной и той же проблеме, Заказчик должен сообщить поставщику только номер ранее зарегистрированного Запроса;</w:t>
            </w:r>
          </w:p>
          <w:p w14:paraId="488D9247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В момент регистрации Запроса поставщик обязан сообщить обратившемуся представителю Заказчика дату регистрации Запроса, регистрационный номер, срок устранения, определяемый в соответствии с таблицей, приведенной в 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пп.1.2.4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;</w:t>
            </w:r>
          </w:p>
          <w:p w14:paraId="7A318C0D" w14:textId="5F9E2600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При необходимости поставщик открывает заявку в техническую поддержку производителя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. Время реакции и решения заявки производителя не включается в параметры оказания услуг поставщиком, приведенные в таблице пп.1.2.4. Предельное увеличение времени решения по заявки поставщиком при открытии заявки у производителя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, составляет 7 (семь) календарных дней;</w:t>
            </w:r>
          </w:p>
          <w:p w14:paraId="59D6BBE4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Временем реакции на Запрос является промежуток времени с момента направления Заказчиком Запроса поставщику до момента регистрации Запроса в порядке пп.1.3.5;</w:t>
            </w:r>
          </w:p>
          <w:p w14:paraId="1DF30CB2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Временем начала оказания Услуг по Запросу является указанное поставщиком время регистрации Запроса;</w:t>
            </w:r>
          </w:p>
          <w:p w14:paraId="103ACD9A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После выполнения Запроса Заказчик обязан оповестить Поставщика о согласии или несогласии с предложенным решением. В случае согласия Заказчика с предложенным решением Запрос является решенным, в противном случае Ответственный со стороны Поставщика связывается с уполномоченным представителем Заказчика для выяснения причины несогласия и возобновления оказания Услуг по Запросу (при необходимости);</w:t>
            </w:r>
          </w:p>
          <w:p w14:paraId="3AEE449E" w14:textId="77777777" w:rsidR="00146539" w:rsidRPr="003C750D" w:rsidRDefault="00146539" w:rsidP="00146539">
            <w:pPr>
              <w:numPr>
                <w:ilvl w:val="2"/>
                <w:numId w:val="7"/>
              </w:numPr>
              <w:spacing w:before="120" w:after="0" w:line="240" w:lineRule="auto"/>
              <w:ind w:left="625" w:hanging="625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Временем предоставления решения является период с момента регистрации Запроса до момента решения Запроса в порядке пп.1.3.7. Предельный срок устранения проблемы указан в таблице </w:t>
            </w:r>
            <w:proofErr w:type="spellStart"/>
            <w:r w:rsidRPr="003C750D">
              <w:rPr>
                <w:rFonts w:ascii="Times New Roman" w:eastAsia="Aptos" w:hAnsi="Times New Roman"/>
                <w:sz w:val="20"/>
                <w:lang w:val="ru-RU"/>
              </w:rPr>
              <w:t>ппп</w:t>
            </w:r>
            <w:proofErr w:type="spellEnd"/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1.2.4.</w:t>
            </w:r>
          </w:p>
          <w:p w14:paraId="61CB39AA" w14:textId="77777777" w:rsidR="00146539" w:rsidRPr="003C750D" w:rsidRDefault="00146539" w:rsidP="00146539">
            <w:pPr>
              <w:spacing w:before="120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</w:p>
          <w:p w14:paraId="4C70078C" w14:textId="77777777" w:rsidR="00146539" w:rsidRPr="003C750D" w:rsidRDefault="00146539" w:rsidP="00146539">
            <w:pPr>
              <w:numPr>
                <w:ilvl w:val="1"/>
                <w:numId w:val="7"/>
              </w:numPr>
              <w:spacing w:after="0" w:line="240" w:lineRule="auto"/>
              <w:ind w:left="625" w:hanging="625"/>
              <w:contextualSpacing/>
              <w:rPr>
                <w:rFonts w:ascii="Times New Roman" w:eastAsia="Calibri" w:hAnsi="Times New Roman"/>
                <w:b/>
                <w:sz w:val="20"/>
                <w:lang w:val="ru-RU"/>
              </w:rPr>
            </w:pPr>
            <w:bookmarkStart w:id="2" w:name="_Toc314051535"/>
            <w:r w:rsidRPr="003C750D">
              <w:rPr>
                <w:rFonts w:ascii="Times New Roman" w:eastAsia="Calibri" w:hAnsi="Times New Roman"/>
                <w:b/>
                <w:sz w:val="20"/>
                <w:lang w:val="ru-RU"/>
              </w:rPr>
              <w:t>Обработка За</w:t>
            </w:r>
            <w:bookmarkEnd w:id="2"/>
            <w:r w:rsidRPr="003C750D">
              <w:rPr>
                <w:rFonts w:ascii="Times New Roman" w:eastAsia="Calibri" w:hAnsi="Times New Roman"/>
                <w:b/>
                <w:sz w:val="20"/>
                <w:lang w:val="ru-RU"/>
              </w:rPr>
              <w:t>проса:</w:t>
            </w:r>
          </w:p>
          <w:p w14:paraId="00DE6912" w14:textId="77777777" w:rsidR="00146539" w:rsidRPr="003C750D" w:rsidRDefault="00146539" w:rsidP="00146539">
            <w:pPr>
              <w:numPr>
                <w:ilvl w:val="2"/>
                <w:numId w:val="7"/>
              </w:numPr>
              <w:spacing w:after="0" w:line="240" w:lineRule="auto"/>
              <w:ind w:left="625" w:hanging="625"/>
              <w:contextualSpacing/>
              <w:jc w:val="both"/>
              <w:rPr>
                <w:rFonts w:ascii="Times New Roman" w:eastAsia="Calibri" w:hAnsi="Times New Roman"/>
                <w:iCs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После регистрации Запроса поставщик организует оказание Услуг по Запросу в соответствии с его приоритетом. При этом поставщик проводит анализ причины заявленной проблемы и предоставляет способы ее решения в зависимости от выявленной причины. </w:t>
            </w:r>
          </w:p>
          <w:p w14:paraId="6F717788" w14:textId="77777777" w:rsidR="00146539" w:rsidRPr="003C750D" w:rsidRDefault="00146539" w:rsidP="00146539">
            <w:pPr>
              <w:numPr>
                <w:ilvl w:val="2"/>
                <w:numId w:val="7"/>
              </w:numPr>
              <w:spacing w:after="0" w:line="240" w:lineRule="auto"/>
              <w:ind w:left="625" w:hanging="625"/>
              <w:contextualSpacing/>
              <w:jc w:val="both"/>
              <w:rPr>
                <w:rFonts w:ascii="Times New Roman" w:eastAsia="Calibri" w:hAnsi="Times New Roman"/>
                <w:iCs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В</w:t>
            </w:r>
            <w:r w:rsidRPr="003C750D">
              <w:rPr>
                <w:rFonts w:ascii="Times New Roman" w:eastAsia="Calibri" w:hAnsi="Times New Roman"/>
                <w:iCs/>
                <w:sz w:val="20"/>
                <w:lang w:val="ru-RU"/>
              </w:rPr>
              <w:t xml:space="preserve">озможные варианты решения проблемы, предлагаемые 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поставщиком</w:t>
            </w:r>
            <w:r w:rsidRPr="003C750D">
              <w:rPr>
                <w:rFonts w:ascii="Times New Roman" w:eastAsia="Calibri" w:hAnsi="Times New Roman"/>
                <w:iCs/>
                <w:sz w:val="20"/>
                <w:lang w:val="ru-RU"/>
              </w:rPr>
              <w:t xml:space="preserve"> Заказчику:</w:t>
            </w:r>
          </w:p>
          <w:p w14:paraId="6F038BC0" w14:textId="399253A5" w:rsidR="00146539" w:rsidRPr="003C750D" w:rsidRDefault="00146539" w:rsidP="00146539">
            <w:pPr>
              <w:numPr>
                <w:ilvl w:val="0"/>
                <w:numId w:val="8"/>
              </w:numPr>
              <w:spacing w:after="0" w:line="240" w:lineRule="auto"/>
              <w:ind w:left="1192" w:hanging="567"/>
              <w:contextualSpacing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Причина проблемы не связана с ошибкой в </w:t>
            </w:r>
            <w:r w:rsidR="00037766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оборудовании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, а связана с неверной эксплуатацией или с неверным представлением о функциональных возможностях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. В этом случае:</w:t>
            </w:r>
          </w:p>
          <w:p w14:paraId="761526FA" w14:textId="398E1AD7" w:rsidR="00146539" w:rsidRPr="003C750D" w:rsidRDefault="00146539" w:rsidP="00146539">
            <w:pPr>
              <w:numPr>
                <w:ilvl w:val="0"/>
                <w:numId w:val="10"/>
              </w:numPr>
              <w:spacing w:after="0" w:line="240" w:lineRule="auto"/>
              <w:ind w:left="1759" w:hanging="567"/>
              <w:contextualSpacing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поставщик предоставляет Заказчику ссылку на документацию по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оборудованию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, подтверждающую факт функционирования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 согласно объявленному в документации,</w:t>
            </w:r>
          </w:p>
          <w:p w14:paraId="24854A1F" w14:textId="27BE7069" w:rsidR="00146539" w:rsidRPr="003C750D" w:rsidRDefault="00146539" w:rsidP="00146539">
            <w:pPr>
              <w:numPr>
                <w:ilvl w:val="0"/>
                <w:numId w:val="10"/>
              </w:numPr>
              <w:spacing w:after="0" w:line="240" w:lineRule="auto"/>
              <w:ind w:left="1759" w:hanging="567"/>
              <w:contextualSpacing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поставщик предоставляет Заказчику инструкции, позволяющие осуществлять эксплуатацию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, избегая возникновения указанной в Запросе проблемы;</w:t>
            </w:r>
          </w:p>
          <w:p w14:paraId="28794022" w14:textId="01C2A02C" w:rsidR="00146539" w:rsidRPr="003C750D" w:rsidRDefault="00146539" w:rsidP="00146539">
            <w:pPr>
              <w:numPr>
                <w:ilvl w:val="0"/>
                <w:numId w:val="8"/>
              </w:numPr>
              <w:spacing w:after="0" w:line="240" w:lineRule="auto"/>
              <w:ind w:left="1192" w:hanging="567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Причина проблемы – ошибка в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оборудовании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. В этом случае в качестве решения для заявленной проблемы Исполнитель выполняет:</w:t>
            </w:r>
          </w:p>
          <w:p w14:paraId="4E9E2D05" w14:textId="413DCA83" w:rsidR="00146539" w:rsidRPr="003C750D" w:rsidRDefault="00146539" w:rsidP="00146539">
            <w:pPr>
              <w:numPr>
                <w:ilvl w:val="0"/>
                <w:numId w:val="9"/>
              </w:numPr>
              <w:spacing w:after="0" w:line="240" w:lineRule="auto"/>
              <w:ind w:left="1759" w:hanging="567"/>
              <w:contextualSpacing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анализ проявлений ошибочного функционирования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 на стенде Заказчика,</w:t>
            </w:r>
          </w:p>
          <w:p w14:paraId="2531FC66" w14:textId="534DB39A" w:rsidR="00146539" w:rsidRPr="003C750D" w:rsidRDefault="00146539" w:rsidP="00146539">
            <w:pPr>
              <w:numPr>
                <w:ilvl w:val="0"/>
                <w:numId w:val="9"/>
              </w:numPr>
              <w:spacing w:after="0" w:line="240" w:lineRule="auto"/>
              <w:ind w:left="1759" w:hanging="567"/>
              <w:contextualSpacing/>
              <w:jc w:val="both"/>
              <w:rPr>
                <w:rFonts w:ascii="Times New Roman" w:eastAsia="Calibri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выявление причин ошибочного функционирования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 и поиск путей его устранения,</w:t>
            </w:r>
          </w:p>
          <w:p w14:paraId="09AC97E5" w14:textId="44EF9421" w:rsidR="00146539" w:rsidRPr="003C750D" w:rsidRDefault="00146539" w:rsidP="00146539">
            <w:pPr>
              <w:numPr>
                <w:ilvl w:val="0"/>
                <w:numId w:val="9"/>
              </w:numPr>
              <w:spacing w:after="0" w:line="240" w:lineRule="auto"/>
              <w:ind w:left="1759" w:hanging="567"/>
              <w:contextualSpacing/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 xml:space="preserve">поиск альтернативных схем и режимов работы, позволяющих обойти ошибки в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оборудовании</w:t>
            </w:r>
            <w:r w:rsidRPr="003C750D">
              <w:rPr>
                <w:rFonts w:ascii="Times New Roman" w:eastAsia="Calibri" w:hAnsi="Times New Roman"/>
                <w:sz w:val="20"/>
                <w:lang w:val="ru-RU"/>
              </w:rPr>
              <w:t>, если нет возможности их устранить.</w:t>
            </w:r>
          </w:p>
        </w:tc>
      </w:tr>
      <w:tr w:rsidR="00146539" w:rsidRPr="00480D60" w14:paraId="54EAF45F" w14:textId="77777777" w:rsidTr="00146539">
        <w:tc>
          <w:tcPr>
            <w:tcW w:w="534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  <w:shd w:val="clear" w:color="auto" w:fill="B9D5F0"/>
          </w:tcPr>
          <w:p w14:paraId="22F2F33E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2</w:t>
            </w:r>
          </w:p>
        </w:tc>
        <w:tc>
          <w:tcPr>
            <w:tcW w:w="9037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  <w:shd w:val="clear" w:color="auto" w:fill="B9D5F0"/>
          </w:tcPr>
          <w:p w14:paraId="5D6A5FD2" w14:textId="7ED74432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Требования к результатам оказанных услуг по технической поддержке работоспособности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</w:p>
        </w:tc>
      </w:tr>
      <w:tr w:rsidR="00146539" w:rsidRPr="00480D60" w14:paraId="0AC6D1CD" w14:textId="77777777" w:rsidTr="00146539">
        <w:tc>
          <w:tcPr>
            <w:tcW w:w="534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</w:tcPr>
          <w:p w14:paraId="54ADCEBB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</w:p>
        </w:tc>
        <w:tc>
          <w:tcPr>
            <w:tcW w:w="9037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</w:tcPr>
          <w:p w14:paraId="2AE0BD31" w14:textId="2A5F3874" w:rsidR="00146539" w:rsidRPr="003C750D" w:rsidRDefault="00146539" w:rsidP="00146539">
            <w:pPr>
              <w:jc w:val="both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Показателем качества оказанных услуг по технической поддержке работоспособности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является обеспечение штатного режима функционирования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Заказчика.</w:t>
            </w:r>
          </w:p>
        </w:tc>
      </w:tr>
      <w:tr w:rsidR="00146539" w:rsidRPr="003C750D" w14:paraId="46DEA8E0" w14:textId="77777777" w:rsidTr="00146539">
        <w:tc>
          <w:tcPr>
            <w:tcW w:w="534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  <w:shd w:val="clear" w:color="auto" w:fill="B9D5F0"/>
          </w:tcPr>
          <w:p w14:paraId="086B6684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3</w:t>
            </w:r>
          </w:p>
        </w:tc>
        <w:tc>
          <w:tcPr>
            <w:tcW w:w="9037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  <w:shd w:val="clear" w:color="auto" w:fill="B9D5F0"/>
          </w:tcPr>
          <w:p w14:paraId="1B487C8B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Условия и сроки</w:t>
            </w:r>
          </w:p>
        </w:tc>
      </w:tr>
      <w:tr w:rsidR="00146539" w:rsidRPr="00480D60" w14:paraId="167F03F0" w14:textId="77777777" w:rsidTr="00146539">
        <w:tc>
          <w:tcPr>
            <w:tcW w:w="534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</w:tcPr>
          <w:p w14:paraId="6701850B" w14:textId="77777777" w:rsidR="00146539" w:rsidRPr="003C750D" w:rsidRDefault="00146539" w:rsidP="00146539">
            <w:pPr>
              <w:jc w:val="center"/>
              <w:rPr>
                <w:rFonts w:ascii="Times New Roman" w:eastAsia="Aptos" w:hAnsi="Times New Roman"/>
                <w:sz w:val="20"/>
                <w:lang w:val="ru-RU"/>
              </w:rPr>
            </w:pPr>
          </w:p>
        </w:tc>
        <w:tc>
          <w:tcPr>
            <w:tcW w:w="9037" w:type="dxa"/>
            <w:tcBorders>
              <w:top w:val="single" w:sz="4" w:space="0" w:color="2C7FCE"/>
              <w:left w:val="single" w:sz="4" w:space="0" w:color="2C7FCE"/>
              <w:bottom w:val="single" w:sz="4" w:space="0" w:color="2C7FCE"/>
              <w:right w:val="single" w:sz="4" w:space="0" w:color="2C7FCE"/>
            </w:tcBorders>
          </w:tcPr>
          <w:p w14:paraId="56871009" w14:textId="51AA71C2" w:rsidR="00146539" w:rsidRPr="00146539" w:rsidRDefault="00146539" w:rsidP="00285DCA">
            <w:pPr>
              <w:spacing w:before="60" w:after="60" w:line="276" w:lineRule="auto"/>
              <w:contextualSpacing/>
              <w:jc w:val="both"/>
              <w:rPr>
                <w:rFonts w:ascii="Times New Roman" w:eastAsia="Aptos" w:hAnsi="Times New Roman"/>
                <w:b/>
                <w:sz w:val="20"/>
                <w:lang w:val="ru-RU"/>
              </w:rPr>
            </w:pPr>
            <w:r w:rsidRPr="003C750D">
              <w:rPr>
                <w:rFonts w:ascii="Times New Roman" w:eastAsia="Aptos" w:hAnsi="Times New Roman"/>
                <w:b/>
                <w:sz w:val="20"/>
                <w:lang w:val="ru-RU"/>
              </w:rPr>
              <w:t xml:space="preserve">Условия: 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Услуги по </w:t>
            </w:r>
            <w:proofErr w:type="spellStart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>Standart</w:t>
            </w:r>
            <w:proofErr w:type="spellEnd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</w:t>
            </w:r>
            <w:proofErr w:type="spellStart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>Direct</w:t>
            </w:r>
            <w:proofErr w:type="spellEnd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</w:t>
            </w:r>
            <w:proofErr w:type="spellStart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>Enterprice</w:t>
            </w:r>
            <w:proofErr w:type="spellEnd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</w:t>
            </w:r>
            <w:proofErr w:type="spellStart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>Support</w:t>
            </w:r>
            <w:proofErr w:type="spellEnd"/>
            <w:r w:rsidR="00285DCA"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  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работоспособности </w:t>
            </w:r>
            <w:r w:rsidR="006F331D" w:rsidRPr="003C750D">
              <w:rPr>
                <w:rFonts w:ascii="Times New Roman" w:eastAsia="Courier New" w:hAnsi="Times New Roman"/>
                <w:sz w:val="20"/>
                <w:lang w:val="ru-RU"/>
              </w:rPr>
              <w:t>оборудования</w:t>
            </w:r>
            <w:r w:rsidR="006F331D"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 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оказываются непрерывно в течение </w:t>
            </w:r>
            <w:r w:rsidR="006F331D" w:rsidRPr="003C750D">
              <w:rPr>
                <w:rFonts w:ascii="Times New Roman" w:eastAsia="Aptos" w:hAnsi="Times New Roman"/>
                <w:sz w:val="20"/>
                <w:lang w:val="ru-RU"/>
              </w:rPr>
              <w:t xml:space="preserve">всего </w:t>
            </w:r>
            <w:r w:rsidRPr="003C750D">
              <w:rPr>
                <w:rFonts w:ascii="Times New Roman" w:eastAsia="Aptos" w:hAnsi="Times New Roman"/>
                <w:sz w:val="20"/>
                <w:lang w:val="ru-RU"/>
              </w:rPr>
              <w:t>срока действия Договора.</w:t>
            </w:r>
          </w:p>
        </w:tc>
      </w:tr>
    </w:tbl>
    <w:p w14:paraId="487F1892" w14:textId="77777777" w:rsidR="005C3249" w:rsidRPr="00BA1DD3" w:rsidRDefault="005C3249">
      <w:pPr>
        <w:rPr>
          <w:lang w:val="ru-RU"/>
        </w:rPr>
      </w:pPr>
    </w:p>
    <w:sectPr w:rsidR="005C3249" w:rsidRPr="00BA1D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D84"/>
    <w:multiLevelType w:val="hybridMultilevel"/>
    <w:tmpl w:val="7116B1E6"/>
    <w:lvl w:ilvl="0" w:tplc="8B942D5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7AF4FC0"/>
    <w:multiLevelType w:val="hybridMultilevel"/>
    <w:tmpl w:val="7116B1E6"/>
    <w:lvl w:ilvl="0" w:tplc="8B942D5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1B2E5DAF"/>
    <w:multiLevelType w:val="multilevel"/>
    <w:tmpl w:val="42AAB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783194D"/>
    <w:multiLevelType w:val="hybridMultilevel"/>
    <w:tmpl w:val="B4080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449C1"/>
    <w:multiLevelType w:val="hybridMultilevel"/>
    <w:tmpl w:val="5E9856B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2E343832"/>
    <w:multiLevelType w:val="hybridMultilevel"/>
    <w:tmpl w:val="3330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552D1"/>
    <w:multiLevelType w:val="hybridMultilevel"/>
    <w:tmpl w:val="D682B2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2D330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2A2E21"/>
    <w:multiLevelType w:val="hybridMultilevel"/>
    <w:tmpl w:val="C25A74A6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9" w15:restartNumberingAfterBreak="0">
    <w:nsid w:val="69BF151B"/>
    <w:multiLevelType w:val="hybridMultilevel"/>
    <w:tmpl w:val="16168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56390"/>
    <w:multiLevelType w:val="hybridMultilevel"/>
    <w:tmpl w:val="8D5EB44C"/>
    <w:lvl w:ilvl="0" w:tplc="F84AD98E">
      <w:start w:val="1"/>
      <w:numFmt w:val="bullet"/>
      <w:lvlText w:val=""/>
      <w:lvlJc w:val="left"/>
      <w:pPr>
        <w:ind w:left="1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11" w15:restartNumberingAfterBreak="0">
    <w:nsid w:val="6E130B16"/>
    <w:multiLevelType w:val="hybridMultilevel"/>
    <w:tmpl w:val="F93AB8A4"/>
    <w:lvl w:ilvl="0" w:tplc="58EE2E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72D645B5"/>
    <w:multiLevelType w:val="multilevel"/>
    <w:tmpl w:val="E6FE2A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3" w15:restartNumberingAfterBreak="0">
    <w:nsid w:val="79E631ED"/>
    <w:multiLevelType w:val="hybridMultilevel"/>
    <w:tmpl w:val="FD820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6"/>
  </w:num>
  <w:num w:numId="7">
    <w:abstractNumId w:val="12"/>
  </w:num>
  <w:num w:numId="8">
    <w:abstractNumId w:val="9"/>
  </w:num>
  <w:num w:numId="9">
    <w:abstractNumId w:val="10"/>
  </w:num>
  <w:num w:numId="10">
    <w:abstractNumId w:val="8"/>
  </w:num>
  <w:num w:numId="11">
    <w:abstractNumId w:val="1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DD3"/>
    <w:rsid w:val="0000318B"/>
    <w:rsid w:val="00026991"/>
    <w:rsid w:val="00037766"/>
    <w:rsid w:val="00080823"/>
    <w:rsid w:val="00087039"/>
    <w:rsid w:val="001013AB"/>
    <w:rsid w:val="00107EE8"/>
    <w:rsid w:val="00140C53"/>
    <w:rsid w:val="00145DF1"/>
    <w:rsid w:val="00146539"/>
    <w:rsid w:val="0019797A"/>
    <w:rsid w:val="001C7B0B"/>
    <w:rsid w:val="001F2ED4"/>
    <w:rsid w:val="00220BF1"/>
    <w:rsid w:val="00285DCA"/>
    <w:rsid w:val="002F6021"/>
    <w:rsid w:val="003200E2"/>
    <w:rsid w:val="00333266"/>
    <w:rsid w:val="0034026B"/>
    <w:rsid w:val="00362C23"/>
    <w:rsid w:val="00374544"/>
    <w:rsid w:val="003802A7"/>
    <w:rsid w:val="003A3C4F"/>
    <w:rsid w:val="003C750D"/>
    <w:rsid w:val="003C7C82"/>
    <w:rsid w:val="003D701D"/>
    <w:rsid w:val="00480D60"/>
    <w:rsid w:val="004B7C7B"/>
    <w:rsid w:val="00522DF4"/>
    <w:rsid w:val="005C3249"/>
    <w:rsid w:val="005C4E5B"/>
    <w:rsid w:val="005D2684"/>
    <w:rsid w:val="0061254C"/>
    <w:rsid w:val="00651E83"/>
    <w:rsid w:val="006B7E37"/>
    <w:rsid w:val="006C2BB8"/>
    <w:rsid w:val="006C6BC9"/>
    <w:rsid w:val="006F108D"/>
    <w:rsid w:val="006F1760"/>
    <w:rsid w:val="006F331D"/>
    <w:rsid w:val="006F34A2"/>
    <w:rsid w:val="00723400"/>
    <w:rsid w:val="00753289"/>
    <w:rsid w:val="00780F1D"/>
    <w:rsid w:val="007A257C"/>
    <w:rsid w:val="007E3DC8"/>
    <w:rsid w:val="00822403"/>
    <w:rsid w:val="00833B64"/>
    <w:rsid w:val="00841CA7"/>
    <w:rsid w:val="008A1EE7"/>
    <w:rsid w:val="008A6517"/>
    <w:rsid w:val="008B1270"/>
    <w:rsid w:val="00921483"/>
    <w:rsid w:val="00937F7F"/>
    <w:rsid w:val="009D777C"/>
    <w:rsid w:val="009F0EFC"/>
    <w:rsid w:val="00A53496"/>
    <w:rsid w:val="00A73B6D"/>
    <w:rsid w:val="00AC5F1A"/>
    <w:rsid w:val="00AF7445"/>
    <w:rsid w:val="00B16B17"/>
    <w:rsid w:val="00B31A82"/>
    <w:rsid w:val="00B457DC"/>
    <w:rsid w:val="00B54C41"/>
    <w:rsid w:val="00BA1DD3"/>
    <w:rsid w:val="00BA6FDC"/>
    <w:rsid w:val="00BB453B"/>
    <w:rsid w:val="00C23DA8"/>
    <w:rsid w:val="00C515B2"/>
    <w:rsid w:val="00C902E4"/>
    <w:rsid w:val="00CA7C2C"/>
    <w:rsid w:val="00CF55B5"/>
    <w:rsid w:val="00CF5619"/>
    <w:rsid w:val="00CF600B"/>
    <w:rsid w:val="00D02D18"/>
    <w:rsid w:val="00D066F4"/>
    <w:rsid w:val="00D129AF"/>
    <w:rsid w:val="00D33434"/>
    <w:rsid w:val="00DC1E79"/>
    <w:rsid w:val="00E45D0A"/>
    <w:rsid w:val="00E974E4"/>
    <w:rsid w:val="00ED13FE"/>
    <w:rsid w:val="00EE6478"/>
    <w:rsid w:val="00F06715"/>
    <w:rsid w:val="00F825F9"/>
    <w:rsid w:val="00F944F0"/>
    <w:rsid w:val="00FA3F6C"/>
    <w:rsid w:val="00FC4AA8"/>
    <w:rsid w:val="00FC5478"/>
    <w:rsid w:val="00FD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4EE5E7"/>
  <w15:chartTrackingRefBased/>
  <w15:docId w15:val="{93E27021-84AB-F447-A1C4-A74F0E339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DD3"/>
    <w:pPr>
      <w:spacing w:after="160" w:line="259" w:lineRule="auto"/>
    </w:pPr>
    <w:rPr>
      <w:kern w:val="0"/>
      <w:sz w:val="22"/>
      <w:szCs w:val="22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List Paragraph (numbered (a)),NUMBERED PARAGRAPH,List Paragraph 1,List_Paragraph,Multilevel para_II,Akapit z listą BS,IBL List Paragraph,List Paragraph nowy,Numbered List Paragraph,Bullet1,Numbered list,Heading1,H1-1"/>
    <w:basedOn w:val="a"/>
    <w:link w:val="a4"/>
    <w:uiPriority w:val="34"/>
    <w:qFormat/>
    <w:rsid w:val="00BA1DD3"/>
    <w:pPr>
      <w:ind w:left="720"/>
      <w:contextualSpacing/>
    </w:pPr>
    <w:rPr>
      <w:lang w:val="ru-RU"/>
    </w:rPr>
  </w:style>
  <w:style w:type="table" w:styleId="a5">
    <w:name w:val="Table Grid"/>
    <w:basedOn w:val="a1"/>
    <w:uiPriority w:val="39"/>
    <w:rsid w:val="00BA1DD3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semiHidden/>
    <w:unhideWhenUsed/>
    <w:rsid w:val="00522DF4"/>
    <w:pPr>
      <w:tabs>
        <w:tab w:val="center" w:pos="4320"/>
        <w:tab w:val="right" w:pos="8640"/>
      </w:tabs>
      <w:spacing w:after="0" w:line="240" w:lineRule="auto"/>
      <w:ind w:left="360"/>
    </w:pPr>
    <w:rPr>
      <w:rFonts w:ascii="Arial" w:eastAsia="Times New Roman" w:hAnsi="Arial" w:cs="Times New Roman"/>
      <w:b/>
      <w:color w:val="2C59E0"/>
      <w:sz w:val="24"/>
      <w:szCs w:val="20"/>
      <w:lang w:bidi="he-IL"/>
    </w:rPr>
  </w:style>
  <w:style w:type="character" w:customStyle="1" w:styleId="a7">
    <w:name w:val="Верхний колонтитул Знак"/>
    <w:basedOn w:val="a0"/>
    <w:link w:val="a6"/>
    <w:semiHidden/>
    <w:rsid w:val="00522DF4"/>
    <w:rPr>
      <w:rFonts w:ascii="Arial" w:eastAsia="Times New Roman" w:hAnsi="Arial" w:cs="Times New Roman"/>
      <w:b/>
      <w:color w:val="2C59E0"/>
      <w:kern w:val="0"/>
      <w:szCs w:val="20"/>
      <w:lang w:val="en-US" w:bidi="he-IL"/>
      <w14:ligatures w14:val="none"/>
    </w:rPr>
  </w:style>
  <w:style w:type="character" w:customStyle="1" w:styleId="a4">
    <w:name w:val="Абзац списка Знак"/>
    <w:aliases w:val="AC List 01 Знак,List Paragraph (numbered (a)) Знак,NUMBERED PARAGRAPH Знак,List Paragraph 1 Знак,List_Paragraph Знак,Multilevel para_II Знак,Akapit z listą BS Знак,IBL List Paragraph Знак,List Paragraph nowy Знак,Bullet1 Знак,H1-1 Знак"/>
    <w:link w:val="a3"/>
    <w:uiPriority w:val="34"/>
    <w:qFormat/>
    <w:locked/>
    <w:rsid w:val="00522DF4"/>
    <w:rPr>
      <w:kern w:val="0"/>
      <w:sz w:val="22"/>
      <w:szCs w:val="22"/>
      <w:lang w:val="ru-RU"/>
      <w14:ligatures w14:val="none"/>
    </w:rPr>
  </w:style>
  <w:style w:type="character" w:customStyle="1" w:styleId="apple-converted-space">
    <w:name w:val="apple-converted-space"/>
    <w:basedOn w:val="a0"/>
    <w:rsid w:val="00C902E4"/>
  </w:style>
  <w:style w:type="character" w:styleId="a8">
    <w:name w:val="Hyperlink"/>
    <w:basedOn w:val="a0"/>
    <w:uiPriority w:val="99"/>
    <w:semiHidden/>
    <w:unhideWhenUsed/>
    <w:rsid w:val="00C902E4"/>
    <w:rPr>
      <w:color w:val="0000FF"/>
      <w:u w:val="single"/>
    </w:rPr>
  </w:style>
  <w:style w:type="table" w:customStyle="1" w:styleId="1">
    <w:name w:val="Сетка таблицы1"/>
    <w:basedOn w:val="a1"/>
    <w:next w:val="a5"/>
    <w:rsid w:val="00146539"/>
    <w:rPr>
      <w:rFonts w:eastAsia="Times New Roman" w:cs="Times New Roman"/>
      <w:color w:val="000000"/>
      <w:kern w:val="0"/>
      <w:sz w:val="22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3418</Words>
  <Characters>19488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Kopachevskiy</dc:creator>
  <cp:keywords/>
  <dc:description/>
  <cp:lastModifiedBy>Гаджиева Лейла Исламовна</cp:lastModifiedBy>
  <cp:revision>13</cp:revision>
  <dcterms:created xsi:type="dcterms:W3CDTF">2025-09-30T09:18:00Z</dcterms:created>
  <dcterms:modified xsi:type="dcterms:W3CDTF">2025-10-10T07:18:00Z</dcterms:modified>
</cp:coreProperties>
</file>